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9F33" w14:textId="77777777" w:rsidR="000B0BDB" w:rsidRDefault="00675A9E" w:rsidP="000B0BDB">
      <w:pPr>
        <w:pStyle w:val="NoSpacing"/>
        <w:rPr>
          <w:b/>
        </w:rPr>
      </w:pPr>
      <w:r>
        <w:rPr>
          <w:b/>
        </w:rPr>
        <w:t xml:space="preserve">Voorstel werkgroep BRMO: </w:t>
      </w:r>
      <w:r w:rsidR="000B0BDB" w:rsidRPr="00675A9E">
        <w:rPr>
          <w:b/>
        </w:rPr>
        <w:t>Wat is een BRMO?</w:t>
      </w:r>
    </w:p>
    <w:p w14:paraId="17CF6EED" w14:textId="77777777" w:rsidR="00675A9E" w:rsidRPr="00675A9E" w:rsidRDefault="00675A9E" w:rsidP="000B0BDB">
      <w:pPr>
        <w:pStyle w:val="NoSpacing"/>
      </w:pPr>
    </w:p>
    <w:p w14:paraId="0BDF3645" w14:textId="77777777" w:rsidR="009A1C9E" w:rsidRDefault="008A3FF8" w:rsidP="00675A9E">
      <w:r>
        <w:rPr>
          <w:szCs w:val="20"/>
        </w:rPr>
        <w:t>D</w:t>
      </w:r>
      <w:r w:rsidR="0059407F">
        <w:rPr>
          <w:szCs w:val="20"/>
        </w:rPr>
        <w:t xml:space="preserve">efinitie </w:t>
      </w:r>
      <w:r w:rsidR="000B0BDB">
        <w:rPr>
          <w:szCs w:val="20"/>
        </w:rPr>
        <w:t>WIP</w:t>
      </w:r>
      <w:r w:rsidR="009A1C9E">
        <w:rPr>
          <w:szCs w:val="20"/>
        </w:rPr>
        <w:t xml:space="preserve"> handhaven</w:t>
      </w:r>
      <w:r w:rsidR="000B0BDB">
        <w:rPr>
          <w:szCs w:val="20"/>
        </w:rPr>
        <w:t xml:space="preserve">: </w:t>
      </w:r>
      <w:r w:rsidR="000B0BDB">
        <w:t>Bijzonder res</w:t>
      </w:r>
      <w:r w:rsidR="00BC2DAB">
        <w:t>istente micro-organismen (BRMO) zijn</w:t>
      </w:r>
      <w:r w:rsidR="000B0BDB">
        <w:t xml:space="preserve"> pathogene micro-organismen die ongevoelig zijn voor de meest geëigende (dus eerste keus) antibiotica of tegen een combinatie van therapeutisch belangrijke antibiotica en die zonder aanvullende maatr</w:t>
      </w:r>
      <w:r w:rsidR="00863BEF">
        <w:t>egelen tot verspreiding kunnen l</w:t>
      </w:r>
      <w:r w:rsidR="000B0BDB">
        <w:t>eiden.</w:t>
      </w:r>
    </w:p>
    <w:p w14:paraId="0D31A313" w14:textId="2E942DDE" w:rsidR="00675A9E" w:rsidRPr="004B2B11" w:rsidRDefault="0059407F" w:rsidP="00675A9E">
      <w:pPr>
        <w:pStyle w:val="NoSpacing"/>
        <w:spacing w:line="276" w:lineRule="auto"/>
      </w:pPr>
      <w:r w:rsidRPr="000B0BAD">
        <w:rPr>
          <w:b/>
        </w:rPr>
        <w:t>3 kerncriteria</w:t>
      </w:r>
      <w:r>
        <w:t xml:space="preserve"> om vast te stellen of een micro-organisme als bijzonder resistent (BRMO) moet worden beschouwd</w:t>
      </w:r>
      <w:r w:rsidR="004B74AA">
        <w:t>:</w:t>
      </w:r>
      <w:r>
        <w:t xml:space="preserve"> </w:t>
      </w:r>
    </w:p>
    <w:p w14:paraId="4449D79C" w14:textId="77777777" w:rsidR="0059407F" w:rsidRDefault="0059407F" w:rsidP="0059407F">
      <w:pPr>
        <w:pStyle w:val="NoSpacing"/>
      </w:pPr>
    </w:p>
    <w:p w14:paraId="5FE14EFE" w14:textId="77777777" w:rsidR="0059407F" w:rsidRDefault="0059407F" w:rsidP="00624F6E">
      <w:pPr>
        <w:pStyle w:val="NoSpacing"/>
        <w:spacing w:line="276" w:lineRule="auto"/>
      </w:pPr>
      <w:r>
        <w:t xml:space="preserve">1. </w:t>
      </w:r>
      <w:r w:rsidR="00830DF4">
        <w:t>V</w:t>
      </w:r>
      <w:r>
        <w:t>eroorzaakt ziekte</w:t>
      </w:r>
    </w:p>
    <w:p w14:paraId="61A03F83" w14:textId="77777777" w:rsidR="0059407F" w:rsidRPr="00830DF4" w:rsidRDefault="0059407F" w:rsidP="00624F6E">
      <w:pPr>
        <w:pStyle w:val="NoSpacing"/>
      </w:pPr>
      <w:r>
        <w:t xml:space="preserve">2. </w:t>
      </w:r>
      <w:r w:rsidR="00830DF4">
        <w:t>H</w:t>
      </w:r>
      <w:r>
        <w:t>eeft resistentie verworven</w:t>
      </w:r>
      <w:r w:rsidR="001A35B1">
        <w:t xml:space="preserve">, eventueel in combinatie met intrinsieke resistentie, </w:t>
      </w:r>
      <w:r>
        <w:t xml:space="preserve"> die (eerste keus) therapie belemmert</w:t>
      </w:r>
      <w:r w:rsidR="00624F6E">
        <w:t xml:space="preserve">. </w:t>
      </w:r>
      <w:r>
        <w:t xml:space="preserve"> </w:t>
      </w:r>
      <w:r w:rsidR="00624F6E">
        <w:t xml:space="preserve">Deze resistentie leidt tot </w:t>
      </w:r>
      <w:r w:rsidR="00BC2DAB" w:rsidRPr="00624F6E">
        <w:t>beperking in de keus van antibiotica en/of de toedieningswijze daarvan bij de behandeling van infecties</w:t>
      </w:r>
      <w:r w:rsidR="00624F6E">
        <w:t xml:space="preserve"> waarbij </w:t>
      </w:r>
      <w:r w:rsidR="00624F6E" w:rsidRPr="00624F6E">
        <w:t>nauwelijks alternatieve behandelmogelijkheden</w:t>
      </w:r>
      <w:r w:rsidR="00624F6E">
        <w:t xml:space="preserve"> beschikbaar zijn. </w:t>
      </w:r>
    </w:p>
    <w:p w14:paraId="5BB16B3E" w14:textId="77777777" w:rsidR="004B2B11" w:rsidRDefault="0059407F" w:rsidP="00624F6E">
      <w:pPr>
        <w:pStyle w:val="NoSpacing"/>
      </w:pPr>
      <w:r>
        <w:t xml:space="preserve">3.  </w:t>
      </w:r>
      <w:r w:rsidR="00830DF4">
        <w:t>K</w:t>
      </w:r>
      <w:r>
        <w:t>an zich verspreiden wanneer (naast basis hygiëne-maatregelen) geen aanvullende infectiepreventiemaatregelen worden getroffen</w:t>
      </w:r>
      <w:r w:rsidR="004B2B11">
        <w:t xml:space="preserve"> of waarvan is </w:t>
      </w:r>
      <w:r w:rsidR="00624F6E">
        <w:t>aangetoond dat er</w:t>
      </w:r>
      <w:r w:rsidR="004B2B11" w:rsidRPr="004B2B11">
        <w:t xml:space="preserve"> in de dag</w:t>
      </w:r>
      <w:r w:rsidR="004B2B11">
        <w:t>elijkse praktijk, ondan</w:t>
      </w:r>
      <w:r w:rsidR="00624F6E">
        <w:t>ks basis hygiëne-maatregelen verspreiding optreedt</w:t>
      </w:r>
      <w:r w:rsidR="00A52150">
        <w:t>.</w:t>
      </w:r>
    </w:p>
    <w:p w14:paraId="406BFD85" w14:textId="77777777" w:rsidR="004B2B11" w:rsidRDefault="004B2B11" w:rsidP="0059407F">
      <w:pPr>
        <w:pStyle w:val="NoSpacing"/>
      </w:pPr>
    </w:p>
    <w:p w14:paraId="09E9A28C" w14:textId="77777777" w:rsidR="00863BEF" w:rsidRDefault="0059407F" w:rsidP="0059407F">
      <w:pPr>
        <w:pStyle w:val="NoSpacing"/>
      </w:pPr>
      <w:r>
        <w:t>Facto</w:t>
      </w:r>
      <w:r w:rsidR="00863BEF">
        <w:t>ren die moeten worden meegewogen</w:t>
      </w:r>
      <w:r>
        <w:t xml:space="preserve"> bij de be</w:t>
      </w:r>
      <w:r w:rsidR="00624F6E">
        <w:t>slissing om een multiresistent micro-organisme als BRMO aan te merken</w:t>
      </w:r>
      <w:r w:rsidR="00830DF4">
        <w:t xml:space="preserve"> en </w:t>
      </w:r>
      <w:r w:rsidR="00624F6E">
        <w:t>te bepalen of screening en</w:t>
      </w:r>
      <w:r w:rsidR="00830DF4">
        <w:t xml:space="preserve"> isolatiemaatregelen nodig zijn</w:t>
      </w:r>
      <w:r>
        <w:t>:</w:t>
      </w:r>
    </w:p>
    <w:p w14:paraId="630D966B" w14:textId="58D820FB" w:rsidR="0059407F" w:rsidRDefault="00624F6E" w:rsidP="00624F6E">
      <w:pPr>
        <w:pStyle w:val="NoSpacing"/>
        <w:ind w:left="708"/>
      </w:pPr>
      <w:r>
        <w:t>-</w:t>
      </w:r>
      <w:r w:rsidR="0059407F">
        <w:t xml:space="preserve">De mate waarin deze beperking </w:t>
      </w:r>
      <w:r w:rsidR="008B4D9D">
        <w:t xml:space="preserve">van keus voor therapie </w:t>
      </w:r>
      <w:r w:rsidR="0059407F">
        <w:t>leidt tot extra morbiditeit</w:t>
      </w:r>
      <w:r w:rsidR="00100686">
        <w:t xml:space="preserve"> </w:t>
      </w:r>
      <w:r w:rsidR="00A56F37">
        <w:t>of</w:t>
      </w:r>
      <w:r w:rsidR="0059407F">
        <w:t xml:space="preserve"> mortaliteit bij patiënten met deze infectieziekten </w:t>
      </w:r>
    </w:p>
    <w:p w14:paraId="1B50849A" w14:textId="77777777" w:rsidR="000B0BDB" w:rsidRDefault="00863BEF" w:rsidP="00624F6E">
      <w:pPr>
        <w:pStyle w:val="NoSpacing"/>
        <w:ind w:left="708"/>
      </w:pPr>
      <w:r>
        <w:t>-</w:t>
      </w:r>
      <w:r w:rsidR="0059407F">
        <w:t>De overdraagbaarheid van de bacterie, en de mogelijkheden om door proportion</w:t>
      </w:r>
      <w:r w:rsidR="00624F6E">
        <w:t>eel infectiepreventiebeleid versp</w:t>
      </w:r>
      <w:r w:rsidR="0059407F">
        <w:t>reiding ervan tegen te gaan</w:t>
      </w:r>
    </w:p>
    <w:p w14:paraId="7AFBD9D7" w14:textId="77777777" w:rsidR="00A52150" w:rsidRDefault="00A52150" w:rsidP="0059407F">
      <w:pPr>
        <w:pStyle w:val="NoSpacing"/>
      </w:pPr>
    </w:p>
    <w:p w14:paraId="2AE0FB67" w14:textId="77777777" w:rsidR="004F13CF" w:rsidRDefault="00A52150" w:rsidP="0059407F">
      <w:pPr>
        <w:pStyle w:val="NoSpacing"/>
      </w:pPr>
      <w:r>
        <w:t xml:space="preserve">Hiervoor is </w:t>
      </w:r>
      <w:r w:rsidR="00830DF4">
        <w:t xml:space="preserve">als indicatie </w:t>
      </w:r>
      <w:r>
        <w:t>een pragmatische score toegekend (hoe hoger</w:t>
      </w:r>
      <w:r w:rsidR="00624F6E">
        <w:t xml:space="preserve"> de </w:t>
      </w:r>
      <w:r w:rsidR="007B1B82">
        <w:t>score</w:t>
      </w:r>
      <w:r w:rsidR="00624F6E">
        <w:t>,</w:t>
      </w:r>
      <w:r>
        <w:t xml:space="preserve"> hoe meer belang van aanvullende maatregelen) gebaseerd op het veroorzaken van ziekte, belemmering van standaard therapie en overdraagbaarheid.</w:t>
      </w:r>
      <w:r w:rsidR="00830DF4">
        <w:t xml:space="preserve"> </w:t>
      </w:r>
      <w:r w:rsidR="00624F6E">
        <w:t>De</w:t>
      </w:r>
      <w:r w:rsidR="00830DF4">
        <w:t xml:space="preserve"> SRI </w:t>
      </w:r>
      <w:r w:rsidR="00624F6E">
        <w:t xml:space="preserve">werkgroep BRMO </w:t>
      </w:r>
      <w:r w:rsidR="00830DF4">
        <w:t xml:space="preserve">zal de </w:t>
      </w:r>
      <w:r w:rsidR="00A561BC">
        <w:t xml:space="preserve">onderwerpen screening, </w:t>
      </w:r>
      <w:r w:rsidR="00624F6E">
        <w:t xml:space="preserve">isolatiemaatregelen </w:t>
      </w:r>
      <w:r w:rsidR="00A561BC">
        <w:t xml:space="preserve">en contactonderzoek </w:t>
      </w:r>
      <w:r w:rsidR="00624F6E">
        <w:t>bepalen</w:t>
      </w:r>
      <w:r w:rsidR="00830DF4">
        <w:t xml:space="preserve"> </w:t>
      </w:r>
      <w:r w:rsidR="00A561BC">
        <w:t xml:space="preserve">bij de verschillende </w:t>
      </w:r>
      <w:proofErr w:type="spellStart"/>
      <w:r w:rsidR="00A561BC">
        <w:t>BRMO’s</w:t>
      </w:r>
      <w:proofErr w:type="spellEnd"/>
      <w:r w:rsidR="00A561BC">
        <w:t xml:space="preserve"> </w:t>
      </w:r>
      <w:r w:rsidR="00830DF4">
        <w:t>zowel in ziekenhuizen als in de verpleeghuizen en overige zorgketen.</w:t>
      </w:r>
    </w:p>
    <w:p w14:paraId="14196048" w14:textId="77777777" w:rsidR="00F9221D" w:rsidRDefault="00F9221D" w:rsidP="0059407F">
      <w:pPr>
        <w:pStyle w:val="NoSpacing"/>
      </w:pPr>
    </w:p>
    <w:p w14:paraId="2C8F7709" w14:textId="77777777" w:rsidR="000B0BAD" w:rsidRDefault="000B0BAD" w:rsidP="0059407F">
      <w:pPr>
        <w:pStyle w:val="NoSpacing"/>
      </w:pPr>
      <w:r>
        <w:t xml:space="preserve">Community </w:t>
      </w:r>
      <w:proofErr w:type="spellStart"/>
      <w:r>
        <w:t>a</w:t>
      </w:r>
      <w:r w:rsidR="007B1B82">
        <w:t>c</w:t>
      </w:r>
      <w:r>
        <w:t>quired</w:t>
      </w:r>
      <w:proofErr w:type="spellEnd"/>
      <w:r>
        <w:t xml:space="preserve">  </w:t>
      </w:r>
      <w:r w:rsidR="00C03B05">
        <w:t>BR</w:t>
      </w:r>
      <w:r>
        <w:t xml:space="preserve">MO worden hierin niet meegenomen zoals pneumokokken, </w:t>
      </w:r>
      <w:r w:rsidRPr="0034603C">
        <w:rPr>
          <w:i/>
        </w:rPr>
        <w:t>Salmonella</w:t>
      </w:r>
      <w:r w:rsidR="0034603C">
        <w:t>,</w:t>
      </w:r>
      <w:r>
        <w:t xml:space="preserve"> </w:t>
      </w:r>
      <w:proofErr w:type="spellStart"/>
      <w:r>
        <w:t>gonokokken</w:t>
      </w:r>
      <w:proofErr w:type="spellEnd"/>
      <w:r w:rsidR="0034603C">
        <w:t xml:space="preserve"> en </w:t>
      </w:r>
      <w:r w:rsidR="0034603C" w:rsidRPr="0034603C">
        <w:rPr>
          <w:i/>
        </w:rPr>
        <w:t xml:space="preserve">Mycobacterium </w:t>
      </w:r>
      <w:proofErr w:type="spellStart"/>
      <w:r w:rsidR="0034603C" w:rsidRPr="0034603C">
        <w:rPr>
          <w:i/>
        </w:rPr>
        <w:t>tuberculosis</w:t>
      </w:r>
      <w:proofErr w:type="spellEnd"/>
      <w:r>
        <w:t>.</w:t>
      </w:r>
    </w:p>
    <w:p w14:paraId="16D655AF" w14:textId="77777777" w:rsidR="00830DF4" w:rsidRDefault="00830DF4" w:rsidP="0059407F">
      <w:pPr>
        <w:pStyle w:val="NoSpacing"/>
      </w:pPr>
    </w:p>
    <w:p w14:paraId="37A1E401" w14:textId="77777777" w:rsidR="00964C1E" w:rsidRDefault="00830DF4" w:rsidP="00675A9E">
      <w:pPr>
        <w:pStyle w:val="NoSpacing"/>
      </w:pPr>
      <w:r>
        <w:t xml:space="preserve">In </w:t>
      </w:r>
      <w:r w:rsidRPr="00830DF4">
        <w:t xml:space="preserve">specifieke settingen </w:t>
      </w:r>
      <w:r>
        <w:t xml:space="preserve">kan </w:t>
      </w:r>
      <w:r w:rsidRPr="00830DF4">
        <w:t xml:space="preserve">er een afwijkend lokaal beleid kan worden gevoerd ten aanzien van </w:t>
      </w:r>
      <w:r w:rsidR="007B1B82" w:rsidRPr="00830DF4">
        <w:t>definiëren</w:t>
      </w:r>
      <w:r w:rsidRPr="00830DF4">
        <w:t xml:space="preserve"> </w:t>
      </w:r>
      <w:proofErr w:type="spellStart"/>
      <w:r w:rsidRPr="00830DF4">
        <w:t>BRMO’s</w:t>
      </w:r>
      <w:proofErr w:type="spellEnd"/>
      <w:r w:rsidRPr="00830DF4">
        <w:t xml:space="preserve"> (bijvoorbeeld op een hematologie afdeling waarbij specifieke </w:t>
      </w:r>
      <w:r w:rsidR="007B1B82" w:rsidRPr="00830DF4">
        <w:t>antibioticaprofylaxe</w:t>
      </w:r>
      <w:r w:rsidRPr="00830DF4">
        <w:t xml:space="preserve"> gegeven wordt</w:t>
      </w:r>
      <w:r w:rsidR="00A561BC">
        <w:t xml:space="preserve"> of bij </w:t>
      </w:r>
      <w:r w:rsidR="007B1B82">
        <w:t>lokale</w:t>
      </w:r>
      <w:r w:rsidR="00A561BC">
        <w:t xml:space="preserve"> uitbraken</w:t>
      </w:r>
      <w:r w:rsidRPr="00830DF4">
        <w:t>).</w:t>
      </w:r>
    </w:p>
    <w:p w14:paraId="58B4D480" w14:textId="77777777" w:rsidR="00675A9E" w:rsidRDefault="00675A9E" w:rsidP="00675A9E">
      <w:pPr>
        <w:pStyle w:val="NoSpacing"/>
      </w:pPr>
    </w:p>
    <w:p w14:paraId="2C49200C" w14:textId="77777777" w:rsidR="00675A9E" w:rsidRDefault="00675A9E" w:rsidP="00675A9E">
      <w:pPr>
        <w:pStyle w:val="NoSpacing"/>
      </w:pPr>
      <w:r w:rsidRPr="000B0BDB">
        <w:t xml:space="preserve">Wil van </w:t>
      </w:r>
      <w:r>
        <w:t xml:space="preserve">der </w:t>
      </w:r>
      <w:r w:rsidRPr="000B0BDB">
        <w:t xml:space="preserve">Zwet, </w:t>
      </w:r>
      <w:r>
        <w:t>MUMC</w:t>
      </w:r>
    </w:p>
    <w:p w14:paraId="0C5F3545" w14:textId="05B05B51" w:rsidR="00675A9E" w:rsidRDefault="00675A9E" w:rsidP="00675A9E">
      <w:pPr>
        <w:pStyle w:val="NoSpacing"/>
      </w:pPr>
      <w:r>
        <w:t>Juli</w:t>
      </w:r>
      <w:r w:rsidR="00B338DB">
        <w:t>ë</w:t>
      </w:r>
      <w:r>
        <w:t xml:space="preserve">tte </w:t>
      </w:r>
      <w:proofErr w:type="spellStart"/>
      <w:r>
        <w:t>Severin</w:t>
      </w:r>
      <w:proofErr w:type="spellEnd"/>
      <w:r>
        <w:t>, Erasmus MC</w:t>
      </w:r>
    </w:p>
    <w:p w14:paraId="3B8B416D" w14:textId="77777777" w:rsidR="00675A9E" w:rsidRDefault="00675A9E" w:rsidP="00675A9E">
      <w:pPr>
        <w:pStyle w:val="NoSpacing"/>
      </w:pPr>
      <w:r w:rsidRPr="000B0BDB">
        <w:t>Rosa van Mansfeld</w:t>
      </w:r>
      <w:r>
        <w:t>, Amsterdam UMC</w:t>
      </w:r>
    </w:p>
    <w:p w14:paraId="6859D6A0" w14:textId="77777777" w:rsidR="00675A9E" w:rsidRDefault="00675A9E" w:rsidP="00675A9E">
      <w:pPr>
        <w:pStyle w:val="NoSpacing"/>
      </w:pPr>
    </w:p>
    <w:p w14:paraId="598BA4C5" w14:textId="77777777" w:rsidR="00675A9E" w:rsidRDefault="002C387C" w:rsidP="00675A9E">
      <w:pPr>
        <w:pStyle w:val="NoSpacing"/>
      </w:pPr>
      <w:r>
        <w:lastRenderedPageBreak/>
        <w:t>Tabel 1: Voorstel BRMO ten opzichte van oude BRMO definitie</w:t>
      </w:r>
    </w:p>
    <w:p w14:paraId="5D3D01F1" w14:textId="77777777" w:rsidR="00675A9E" w:rsidRDefault="00675A9E" w:rsidP="00675A9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5670"/>
        <w:gridCol w:w="3969"/>
        <w:gridCol w:w="1656"/>
      </w:tblGrid>
      <w:tr w:rsidR="003416B0" w:rsidRPr="003416B0" w14:paraId="27B86023" w14:textId="77777777" w:rsidTr="002C387C">
        <w:trPr>
          <w:trHeight w:val="315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0555E" w14:textId="77777777" w:rsidR="003416B0" w:rsidRPr="003416B0" w:rsidRDefault="002C387C" w:rsidP="003416B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Micro-organisme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3E57B052" w14:textId="77777777" w:rsidR="003416B0" w:rsidRPr="003416B0" w:rsidRDefault="002C387C" w:rsidP="003416B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3416B0" w:rsidRPr="003416B0">
              <w:rPr>
                <w:b/>
                <w:bCs/>
              </w:rPr>
              <w:t xml:space="preserve">esistentie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51403F8" w14:textId="77777777" w:rsidR="003416B0" w:rsidRPr="003416B0" w:rsidRDefault="002C387C" w:rsidP="003416B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Voorstel </w:t>
            </w:r>
            <w:r w:rsidR="003416B0" w:rsidRPr="003416B0">
              <w:rPr>
                <w:b/>
                <w:bCs/>
              </w:rPr>
              <w:t>BRMO 2021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BE91431" w14:textId="77777777" w:rsidR="003416B0" w:rsidRPr="003416B0" w:rsidRDefault="003416B0" w:rsidP="003416B0">
            <w:pPr>
              <w:pStyle w:val="NoSpacing"/>
              <w:rPr>
                <w:b/>
                <w:bCs/>
              </w:rPr>
            </w:pPr>
            <w:r w:rsidRPr="003416B0">
              <w:rPr>
                <w:b/>
                <w:bCs/>
              </w:rPr>
              <w:t>t.o.v. oude WIP</w:t>
            </w:r>
          </w:p>
        </w:tc>
      </w:tr>
      <w:tr w:rsidR="00AE2528" w:rsidRPr="003416B0" w14:paraId="08584BB0" w14:textId="77777777" w:rsidTr="002C387C">
        <w:trPr>
          <w:trHeight w:val="315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674CEB5D" w14:textId="77777777" w:rsidR="003416B0" w:rsidRPr="003416B0" w:rsidRDefault="003416B0" w:rsidP="003416B0">
            <w:pPr>
              <w:pStyle w:val="NoSpacing"/>
            </w:pPr>
            <w:r w:rsidRPr="003416B0">
              <w:t xml:space="preserve">MRSA (+ </w:t>
            </w:r>
            <w:r w:rsidRPr="003416B0">
              <w:rPr>
                <w:i/>
                <w:iCs/>
              </w:rPr>
              <w:t xml:space="preserve">S. </w:t>
            </w:r>
            <w:proofErr w:type="spellStart"/>
            <w:r w:rsidRPr="003416B0">
              <w:rPr>
                <w:i/>
                <w:iCs/>
              </w:rPr>
              <w:t>argenteus</w:t>
            </w:r>
            <w:proofErr w:type="spellEnd"/>
            <w:r w:rsidRPr="003416B0">
              <w:t>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CEE4806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meticilline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</w:tcBorders>
            <w:hideMark/>
          </w:tcPr>
          <w:p w14:paraId="2C4DBD9C" w14:textId="77777777" w:rsidR="003416B0" w:rsidRPr="003416B0" w:rsidRDefault="003416B0" w:rsidP="003416B0">
            <w:pPr>
              <w:pStyle w:val="NoSpacing"/>
            </w:pPr>
            <w:r w:rsidRPr="003416B0">
              <w:t>wel BRMO, maa</w:t>
            </w:r>
            <w:r w:rsidR="00B830C9">
              <w:t>r beleid in aparte SRI RL</w:t>
            </w:r>
          </w:p>
        </w:tc>
        <w:tc>
          <w:tcPr>
            <w:tcW w:w="165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3D6FE2B0" w14:textId="77777777" w:rsidR="003416B0" w:rsidRPr="003416B0" w:rsidRDefault="003416B0" w:rsidP="003416B0">
            <w:pPr>
              <w:pStyle w:val="NoSpacing"/>
            </w:pPr>
            <w:r w:rsidRPr="003416B0">
              <w:t>zelfde</w:t>
            </w:r>
          </w:p>
        </w:tc>
      </w:tr>
      <w:tr w:rsidR="00AE2528" w:rsidRPr="003416B0" w14:paraId="61C56E6A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E5C58EF" w14:textId="77777777" w:rsidR="003416B0" w:rsidRPr="003416B0" w:rsidRDefault="002C387C" w:rsidP="003416B0">
            <w:pPr>
              <w:pStyle w:val="NoSpacing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Enterococcus</w:t>
            </w:r>
            <w:proofErr w:type="spellEnd"/>
            <w:r w:rsidR="003416B0" w:rsidRPr="003416B0">
              <w:rPr>
                <w:i/>
                <w:iCs/>
              </w:rPr>
              <w:t xml:space="preserve"> </w:t>
            </w:r>
            <w:proofErr w:type="spellStart"/>
            <w:r w:rsidR="003416B0" w:rsidRPr="003416B0">
              <w:rPr>
                <w:i/>
                <w:iCs/>
              </w:rPr>
              <w:t>faecium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</w:tcBorders>
            <w:hideMark/>
          </w:tcPr>
          <w:p w14:paraId="77CC92ED" w14:textId="77777777" w:rsidR="003416B0" w:rsidRPr="003416B0" w:rsidRDefault="003416B0" w:rsidP="003416B0">
            <w:pPr>
              <w:pStyle w:val="NoSpacing"/>
            </w:pPr>
            <w:r w:rsidRPr="003416B0">
              <w:t>vancomycine en penicilline-groep</w:t>
            </w:r>
          </w:p>
        </w:tc>
        <w:tc>
          <w:tcPr>
            <w:tcW w:w="3969" w:type="dxa"/>
            <w:hideMark/>
          </w:tcPr>
          <w:p w14:paraId="7E2D8096" w14:textId="77777777" w:rsidR="003416B0" w:rsidRPr="003416B0" w:rsidRDefault="003416B0" w:rsidP="003416B0">
            <w:pPr>
              <w:pStyle w:val="NoSpacing"/>
            </w:pPr>
            <w:r w:rsidRPr="003416B0">
              <w:t>overnemen uit WIP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noWrap/>
            <w:hideMark/>
          </w:tcPr>
          <w:p w14:paraId="32AAE950" w14:textId="77777777" w:rsidR="003416B0" w:rsidRPr="003416B0" w:rsidRDefault="003416B0" w:rsidP="003416B0">
            <w:pPr>
              <w:pStyle w:val="NoSpacing"/>
            </w:pPr>
            <w:r w:rsidRPr="003416B0">
              <w:t>zelfde</w:t>
            </w:r>
          </w:p>
        </w:tc>
      </w:tr>
      <w:tr w:rsidR="003416B0" w:rsidRPr="003416B0" w14:paraId="4C8EAC97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E29B5DE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Enterobacterales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14:paraId="5132EBED" w14:textId="77777777" w:rsidR="003416B0" w:rsidRPr="003416B0" w:rsidRDefault="003416B0" w:rsidP="003416B0">
            <w:pPr>
              <w:pStyle w:val="NoSpacing"/>
            </w:pPr>
            <w:r w:rsidRPr="003416B0">
              <w:t>ESBL</w:t>
            </w: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2991BAB1" w14:textId="324E55C6" w:rsidR="003416B0" w:rsidRPr="003416B0" w:rsidRDefault="00AE2528" w:rsidP="006813D3">
            <w:pPr>
              <w:pStyle w:val="NoSpacing"/>
            </w:pPr>
            <w:r>
              <w:t xml:space="preserve">Zie </w:t>
            </w:r>
            <w:r w:rsidR="003416B0" w:rsidRPr="003416B0">
              <w:t>groep I en 3de generatie ce</w:t>
            </w:r>
            <w:r w:rsidR="006813D3">
              <w:t>f</w:t>
            </w:r>
            <w:r w:rsidR="003416B0" w:rsidRPr="003416B0">
              <w:t>alosporines R</w:t>
            </w:r>
            <w:r w:rsidR="000B46FF">
              <w:t xml:space="preserve"> (nieuw)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6B3D8BD" w14:textId="77777777" w:rsidR="003416B0" w:rsidRPr="003416B0" w:rsidRDefault="003416B0" w:rsidP="003416B0">
            <w:pPr>
              <w:pStyle w:val="NoSpacing"/>
            </w:pPr>
            <w:r w:rsidRPr="003416B0">
              <w:t>aangepast</w:t>
            </w:r>
          </w:p>
        </w:tc>
      </w:tr>
      <w:tr w:rsidR="003416B0" w:rsidRPr="003416B0" w14:paraId="585C9067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8800635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Enterobacterales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14:paraId="027AE192" w14:textId="78F97A97" w:rsidR="003416B0" w:rsidRPr="003416B0" w:rsidRDefault="00AD4D8C" w:rsidP="003416B0">
            <w:pPr>
              <w:pStyle w:val="NoSpacing"/>
            </w:pPr>
            <w:proofErr w:type="spellStart"/>
            <w:r w:rsidRPr="003416B0">
              <w:t>C</w:t>
            </w:r>
            <w:r w:rsidR="003416B0" w:rsidRPr="003416B0">
              <w:t>arbapenem</w:t>
            </w:r>
            <w:proofErr w:type="spellEnd"/>
            <w:r>
              <w:t>*</w:t>
            </w: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3F2C4800" w14:textId="257B1500" w:rsidR="003416B0" w:rsidRPr="003416B0" w:rsidRDefault="003416B0" w:rsidP="003416B0">
            <w:pPr>
              <w:pStyle w:val="NoSpacing"/>
            </w:pPr>
            <w:proofErr w:type="spellStart"/>
            <w:r w:rsidRPr="003416B0">
              <w:t>carbapenem</w:t>
            </w:r>
            <w:proofErr w:type="spellEnd"/>
            <w:r w:rsidRPr="003416B0">
              <w:t xml:space="preserve"> resistent ongeacht mechanisme</w:t>
            </w:r>
            <w:r w:rsidR="006813D3">
              <w:t xml:space="preserve"> of </w:t>
            </w:r>
            <w:proofErr w:type="spellStart"/>
            <w:r w:rsidR="006813D3">
              <w:t>carbapenemase</w:t>
            </w:r>
            <w:proofErr w:type="spellEnd"/>
            <w:r w:rsidR="006813D3">
              <w:t xml:space="preserve"> ongeacht MIC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0D2F70E" w14:textId="77777777" w:rsidR="003416B0" w:rsidRPr="003416B0" w:rsidRDefault="003416B0" w:rsidP="003416B0">
            <w:pPr>
              <w:pStyle w:val="NoSpacing"/>
            </w:pPr>
            <w:r w:rsidRPr="003416B0">
              <w:t>aangepast</w:t>
            </w:r>
          </w:p>
        </w:tc>
      </w:tr>
      <w:tr w:rsidR="00AE2528" w:rsidRPr="003416B0" w14:paraId="67AE27BC" w14:textId="77777777" w:rsidTr="00AD4D8C">
        <w:trPr>
          <w:trHeight w:val="6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21CA1B9" w14:textId="77777777" w:rsidR="003416B0" w:rsidRPr="003416B0" w:rsidRDefault="003416B0" w:rsidP="003416B0">
            <w:pPr>
              <w:pStyle w:val="NoSpacing"/>
              <w:rPr>
                <w:i/>
              </w:rPr>
            </w:pPr>
            <w:r w:rsidRPr="003416B0">
              <w:rPr>
                <w:i/>
              </w:rPr>
              <w:t>Pseudomonas aeruginosa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F2F2F2" w:themeFill="background1" w:themeFillShade="F2"/>
            <w:hideMark/>
          </w:tcPr>
          <w:p w14:paraId="4F751C09" w14:textId="0282ED48" w:rsidR="003416B0" w:rsidRPr="003416B0" w:rsidRDefault="003416B0" w:rsidP="003416B0">
            <w:pPr>
              <w:pStyle w:val="NoSpacing"/>
            </w:pPr>
            <w:r w:rsidRPr="003416B0">
              <w:rPr>
                <w:u w:val="single"/>
              </w:rPr>
              <w:t>&gt;</w:t>
            </w:r>
            <w:r w:rsidRPr="003416B0">
              <w:t xml:space="preserve"> 3 klassen (aminoglycosiden, </w:t>
            </w:r>
            <w:proofErr w:type="spellStart"/>
            <w:r w:rsidRPr="003416B0">
              <w:t>carbapenem</w:t>
            </w:r>
            <w:proofErr w:type="spellEnd"/>
            <w:r w:rsidRPr="003416B0">
              <w:t xml:space="preserve">, </w:t>
            </w:r>
            <w:proofErr w:type="spellStart"/>
            <w:r w:rsidRPr="003416B0">
              <w:t>piperacilline</w:t>
            </w:r>
            <w:proofErr w:type="spellEnd"/>
            <w:r w:rsidRPr="003416B0">
              <w:t xml:space="preserve">, ceftazidim, </w:t>
            </w:r>
            <w:proofErr w:type="spellStart"/>
            <w:r w:rsidRPr="003416B0">
              <w:t>fluorchinolonen</w:t>
            </w:r>
            <w:proofErr w:type="spellEnd"/>
            <w:r w:rsidRPr="003416B0"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  <w:hideMark/>
          </w:tcPr>
          <w:p w14:paraId="5AC1596A" w14:textId="77777777" w:rsidR="003416B0" w:rsidRPr="003416B0" w:rsidRDefault="00A56F37" w:rsidP="003416B0">
            <w:pPr>
              <w:pStyle w:val="NoSpacing"/>
            </w:pPr>
            <w:r>
              <w:t xml:space="preserve">Grotendeels </w:t>
            </w:r>
            <w:r w:rsidR="003416B0" w:rsidRPr="003416B0">
              <w:t>overnemen uit WIP</w:t>
            </w:r>
            <w:r>
              <w:t xml:space="preserve">, aanpassing: </w:t>
            </w:r>
            <w:proofErr w:type="spellStart"/>
            <w:r>
              <w:t>Carbapenem</w:t>
            </w:r>
            <w:proofErr w:type="spellEnd"/>
            <w:r>
              <w:t xml:space="preserve"> ongeacht welk mechanisme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69010AC" w14:textId="65D22765" w:rsidR="003416B0" w:rsidRDefault="003416B0" w:rsidP="003416B0">
            <w:pPr>
              <w:pStyle w:val="NoSpacing"/>
            </w:pPr>
          </w:p>
          <w:p w14:paraId="1FDC762C" w14:textId="77777777" w:rsidR="00A56F37" w:rsidRPr="003416B0" w:rsidRDefault="00A56F37" w:rsidP="003416B0">
            <w:pPr>
              <w:pStyle w:val="NoSpacing"/>
            </w:pPr>
            <w:r>
              <w:t>aangepast</w:t>
            </w:r>
          </w:p>
        </w:tc>
      </w:tr>
      <w:tr w:rsidR="00AE2528" w:rsidRPr="003416B0" w14:paraId="630EFC66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1F374884" w14:textId="77777777" w:rsidR="003416B0" w:rsidRPr="003416B0" w:rsidRDefault="003416B0" w:rsidP="003416B0">
            <w:pPr>
              <w:pStyle w:val="NoSpacing"/>
            </w:pPr>
            <w:proofErr w:type="spellStart"/>
            <w:r w:rsidRPr="00AD4D8C">
              <w:rPr>
                <w:i/>
              </w:rPr>
              <w:t>Acinetobacter</w:t>
            </w:r>
            <w:proofErr w:type="spellEnd"/>
            <w:r w:rsidRPr="00AD4D8C">
              <w:rPr>
                <w:i/>
              </w:rPr>
              <w:t xml:space="preserve"> </w:t>
            </w:r>
            <w:proofErr w:type="spellStart"/>
            <w:r w:rsidRPr="00AD4D8C">
              <w:rPr>
                <w:i/>
              </w:rPr>
              <w:t>baumannii</w:t>
            </w:r>
            <w:proofErr w:type="spellEnd"/>
            <w:r w:rsidRPr="003416B0">
              <w:t xml:space="preserve"> complex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hideMark/>
          </w:tcPr>
          <w:p w14:paraId="26E5B50A" w14:textId="77777777" w:rsidR="003416B0" w:rsidRPr="003416B0" w:rsidRDefault="003416B0" w:rsidP="003416B0">
            <w:pPr>
              <w:pStyle w:val="NoSpacing"/>
              <w:rPr>
                <w:lang w:val="en-GB"/>
              </w:rPr>
            </w:pPr>
            <w:r w:rsidRPr="003416B0">
              <w:rPr>
                <w:u w:val="single"/>
                <w:lang w:val="en-GB"/>
              </w:rPr>
              <w:t>&gt;</w:t>
            </w:r>
            <w:r w:rsidRPr="003416B0">
              <w:rPr>
                <w:lang w:val="en-GB"/>
              </w:rPr>
              <w:t xml:space="preserve"> 2 </w:t>
            </w:r>
            <w:proofErr w:type="spellStart"/>
            <w:r w:rsidRPr="003416B0">
              <w:rPr>
                <w:lang w:val="en-GB"/>
              </w:rPr>
              <w:t>klassen</w:t>
            </w:r>
            <w:proofErr w:type="spellEnd"/>
            <w:r w:rsidRPr="003416B0">
              <w:rPr>
                <w:lang w:val="en-GB"/>
              </w:rPr>
              <w:t xml:space="preserve"> (</w:t>
            </w:r>
            <w:proofErr w:type="spellStart"/>
            <w:r w:rsidRPr="003416B0">
              <w:rPr>
                <w:lang w:val="en-GB"/>
              </w:rPr>
              <w:t>aminoglycosiden</w:t>
            </w:r>
            <w:proofErr w:type="spellEnd"/>
            <w:r w:rsidRPr="003416B0">
              <w:rPr>
                <w:lang w:val="en-GB"/>
              </w:rPr>
              <w:t xml:space="preserve">, </w:t>
            </w:r>
            <w:proofErr w:type="spellStart"/>
            <w:r w:rsidRPr="003416B0">
              <w:rPr>
                <w:lang w:val="en-GB"/>
              </w:rPr>
              <w:t>ciprofloxacine</w:t>
            </w:r>
            <w:proofErr w:type="spellEnd"/>
            <w:r w:rsidRPr="003416B0">
              <w:rPr>
                <w:lang w:val="en-GB"/>
              </w:rPr>
              <w:t xml:space="preserve"> of </w:t>
            </w:r>
            <w:proofErr w:type="spellStart"/>
            <w:r w:rsidRPr="003416B0">
              <w:rPr>
                <w:lang w:val="en-GB"/>
              </w:rPr>
              <w:t>levofloxacine</w:t>
            </w:r>
            <w:proofErr w:type="spellEnd"/>
            <w:r w:rsidRPr="003416B0">
              <w:rPr>
                <w:lang w:val="en-GB"/>
              </w:rPr>
              <w:t>)</w:t>
            </w:r>
          </w:p>
        </w:tc>
        <w:tc>
          <w:tcPr>
            <w:tcW w:w="3969" w:type="dxa"/>
            <w:hideMark/>
          </w:tcPr>
          <w:p w14:paraId="555F063D" w14:textId="77777777" w:rsidR="003416B0" w:rsidRPr="003416B0" w:rsidRDefault="003416B0" w:rsidP="003416B0">
            <w:pPr>
              <w:pStyle w:val="NoSpacing"/>
            </w:pPr>
            <w:r w:rsidRPr="003416B0">
              <w:t>overnemen uit WIP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noWrap/>
            <w:hideMark/>
          </w:tcPr>
          <w:p w14:paraId="397F488C" w14:textId="77777777" w:rsidR="003416B0" w:rsidRPr="003416B0" w:rsidRDefault="003416B0" w:rsidP="003416B0">
            <w:pPr>
              <w:pStyle w:val="NoSpacing"/>
            </w:pPr>
            <w:r w:rsidRPr="003416B0">
              <w:t>zelfde</w:t>
            </w:r>
          </w:p>
        </w:tc>
      </w:tr>
      <w:tr w:rsidR="003416B0" w:rsidRPr="003416B0" w14:paraId="26E04F18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F5B137" w14:textId="77777777" w:rsidR="003416B0" w:rsidRPr="003416B0" w:rsidRDefault="003416B0" w:rsidP="003416B0">
            <w:pPr>
              <w:pStyle w:val="NoSpacing"/>
            </w:pPr>
            <w:proofErr w:type="spellStart"/>
            <w:r w:rsidRPr="00AD4D8C">
              <w:rPr>
                <w:i/>
              </w:rPr>
              <w:t>Acinetobacter</w:t>
            </w:r>
            <w:proofErr w:type="spellEnd"/>
            <w:r w:rsidRPr="00AD4D8C">
              <w:rPr>
                <w:i/>
              </w:rPr>
              <w:t xml:space="preserve"> </w:t>
            </w:r>
            <w:proofErr w:type="spellStart"/>
            <w:r w:rsidRPr="00AD4D8C">
              <w:rPr>
                <w:i/>
              </w:rPr>
              <w:t>baumannii</w:t>
            </w:r>
            <w:proofErr w:type="spellEnd"/>
            <w:r w:rsidRPr="003416B0">
              <w:t xml:space="preserve"> complex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7C9C74DA" w14:textId="260577C4" w:rsidR="003416B0" w:rsidRPr="003416B0" w:rsidRDefault="003416B0" w:rsidP="003416B0">
            <w:pPr>
              <w:pStyle w:val="NoSpacing"/>
            </w:pPr>
            <w:proofErr w:type="spellStart"/>
            <w:r w:rsidRPr="003416B0">
              <w:t>carbapenemase</w:t>
            </w:r>
            <w:proofErr w:type="spellEnd"/>
            <w:r w:rsidR="00AD4D8C">
              <w:t>**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hideMark/>
          </w:tcPr>
          <w:p w14:paraId="193BC24A" w14:textId="77777777" w:rsidR="003416B0" w:rsidRPr="003416B0" w:rsidRDefault="003416B0" w:rsidP="003416B0">
            <w:pPr>
              <w:pStyle w:val="NoSpacing"/>
            </w:pPr>
            <w:r w:rsidRPr="003416B0">
              <w:t>overnemen uit WIP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499445C" w14:textId="77777777" w:rsidR="003416B0" w:rsidRPr="003416B0" w:rsidRDefault="003416B0" w:rsidP="003416B0">
            <w:pPr>
              <w:pStyle w:val="NoSpacing"/>
            </w:pPr>
            <w:r w:rsidRPr="003416B0">
              <w:t>zelfde</w:t>
            </w:r>
          </w:p>
        </w:tc>
      </w:tr>
      <w:tr w:rsidR="003416B0" w:rsidRPr="003416B0" w14:paraId="1A24551A" w14:textId="77777777" w:rsidTr="002C387C">
        <w:trPr>
          <w:trHeight w:val="315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647251D" w14:textId="77777777" w:rsidR="003416B0" w:rsidRPr="003416B0" w:rsidRDefault="003416B0" w:rsidP="003416B0">
            <w:pPr>
              <w:pStyle w:val="NoSpacing"/>
              <w:rPr>
                <w:i/>
                <w:iCs/>
              </w:rPr>
            </w:pPr>
            <w:r w:rsidRPr="003416B0">
              <w:rPr>
                <w:i/>
                <w:iCs/>
              </w:rPr>
              <w:t>S. pneumoniae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72677165" w14:textId="77777777" w:rsidR="003416B0" w:rsidRPr="003416B0" w:rsidRDefault="003416B0" w:rsidP="003416B0">
            <w:pPr>
              <w:pStyle w:val="NoSpacing"/>
            </w:pPr>
            <w:r w:rsidRPr="003416B0">
              <w:t>vancomycine of penicilline-groep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D9D9D9" w:themeFill="background1" w:themeFillShade="D9"/>
            <w:hideMark/>
          </w:tcPr>
          <w:p w14:paraId="057621D0" w14:textId="77777777" w:rsidR="003416B0" w:rsidRPr="003416B0" w:rsidRDefault="003416B0" w:rsidP="003416B0">
            <w:pPr>
              <w:pStyle w:val="NoSpacing"/>
            </w:pPr>
            <w:r w:rsidRPr="003416B0">
              <w:t>niet opnemen</w:t>
            </w:r>
          </w:p>
        </w:tc>
        <w:tc>
          <w:tcPr>
            <w:tcW w:w="1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1FFBCE41" w14:textId="77777777" w:rsidR="003416B0" w:rsidRPr="003416B0" w:rsidRDefault="005C36E4" w:rsidP="005C36E4">
            <w:pPr>
              <w:pStyle w:val="NoSpacing"/>
            </w:pPr>
            <w:r>
              <w:t>e</w:t>
            </w:r>
            <w:r w:rsidR="003416B0" w:rsidRPr="003416B0">
              <w:t>ruit</w:t>
            </w:r>
            <w:r>
              <w:t xml:space="preserve"> </w:t>
            </w:r>
          </w:p>
        </w:tc>
      </w:tr>
      <w:tr w:rsidR="003416B0" w:rsidRPr="003416B0" w14:paraId="407B88CD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EE196D7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Enterobacterales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2F64B27D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fluorchinolonen</w:t>
            </w:r>
            <w:proofErr w:type="spellEnd"/>
            <w:r w:rsidRPr="003416B0">
              <w:t xml:space="preserve"> en aminoglycosiden</w:t>
            </w:r>
          </w:p>
        </w:tc>
        <w:tc>
          <w:tcPr>
            <w:tcW w:w="3969" w:type="dxa"/>
            <w:shd w:val="clear" w:color="auto" w:fill="D9D9D9" w:themeFill="background1" w:themeFillShade="D9"/>
            <w:hideMark/>
          </w:tcPr>
          <w:p w14:paraId="45202CF7" w14:textId="77777777" w:rsidR="003416B0" w:rsidRPr="003416B0" w:rsidRDefault="003416B0" w:rsidP="003416B0">
            <w:pPr>
              <w:pStyle w:val="NoSpacing"/>
            </w:pPr>
            <w:r w:rsidRPr="003416B0">
              <w:t>niet opnemen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E69EB79" w14:textId="77777777" w:rsidR="003416B0" w:rsidRPr="003416B0" w:rsidRDefault="003416B0" w:rsidP="003416B0">
            <w:pPr>
              <w:pStyle w:val="NoSpacing"/>
            </w:pPr>
            <w:r w:rsidRPr="003416B0">
              <w:t>eruit</w:t>
            </w:r>
          </w:p>
        </w:tc>
      </w:tr>
      <w:tr w:rsidR="003416B0" w:rsidRPr="003416B0" w14:paraId="54CA23C9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E3C0673" w14:textId="464BBB33" w:rsidR="003416B0" w:rsidRPr="003416B0" w:rsidRDefault="003416B0" w:rsidP="00A16FA7">
            <w:pPr>
              <w:pStyle w:val="NoSpacing"/>
              <w:rPr>
                <w:i/>
              </w:rPr>
            </w:pPr>
            <w:proofErr w:type="spellStart"/>
            <w:r w:rsidRPr="003416B0">
              <w:rPr>
                <w:i/>
              </w:rPr>
              <w:t>Stenotrophomonas</w:t>
            </w:r>
            <w:proofErr w:type="spellEnd"/>
            <w:r w:rsidR="002C387C">
              <w:rPr>
                <w:i/>
              </w:rPr>
              <w:t xml:space="preserve"> </w:t>
            </w:r>
            <w:proofErr w:type="spellStart"/>
            <w:r w:rsidR="00A16FA7">
              <w:rPr>
                <w:i/>
              </w:rPr>
              <w:t>m</w:t>
            </w:r>
            <w:r w:rsidR="002C387C">
              <w:rPr>
                <w:i/>
              </w:rPr>
              <w:t>altophilia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3FD04BC9" w14:textId="3471C5E0" w:rsidR="003416B0" w:rsidRPr="003416B0" w:rsidRDefault="00A16FA7" w:rsidP="003416B0">
            <w:pPr>
              <w:pStyle w:val="NoSpacing"/>
            </w:pPr>
            <w:proofErr w:type="spellStart"/>
            <w:r w:rsidRPr="003416B0">
              <w:t>C</w:t>
            </w:r>
            <w:r w:rsidR="003416B0" w:rsidRPr="003416B0">
              <w:t>o</w:t>
            </w:r>
            <w:r>
              <w:t>-</w:t>
            </w:r>
            <w:r w:rsidR="003416B0" w:rsidRPr="003416B0">
              <w:t>trim</w:t>
            </w:r>
            <w:r>
              <w:t>oxazol</w:t>
            </w:r>
            <w:proofErr w:type="spellEnd"/>
            <w:r w:rsidR="003416B0" w:rsidRPr="003416B0">
              <w:t xml:space="preserve"> </w:t>
            </w:r>
          </w:p>
        </w:tc>
        <w:tc>
          <w:tcPr>
            <w:tcW w:w="3969" w:type="dxa"/>
            <w:shd w:val="clear" w:color="auto" w:fill="D9D9D9" w:themeFill="background1" w:themeFillShade="D9"/>
            <w:hideMark/>
          </w:tcPr>
          <w:p w14:paraId="34F827FA" w14:textId="77777777" w:rsidR="003416B0" w:rsidRPr="003416B0" w:rsidRDefault="003416B0" w:rsidP="003416B0">
            <w:pPr>
              <w:pStyle w:val="NoSpacing"/>
            </w:pPr>
            <w:r w:rsidRPr="003416B0">
              <w:t>niet opnemen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F226003" w14:textId="77777777" w:rsidR="003416B0" w:rsidRPr="003416B0" w:rsidRDefault="003416B0" w:rsidP="003416B0">
            <w:pPr>
              <w:pStyle w:val="NoSpacing"/>
            </w:pPr>
            <w:r w:rsidRPr="003416B0">
              <w:t>eruit</w:t>
            </w:r>
          </w:p>
        </w:tc>
      </w:tr>
      <w:tr w:rsidR="003416B0" w:rsidRPr="003416B0" w14:paraId="4C8E72C1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9CBC7E9" w14:textId="77777777" w:rsidR="003416B0" w:rsidRPr="002C387C" w:rsidRDefault="002C387C" w:rsidP="003416B0">
            <w:pPr>
              <w:pStyle w:val="NoSpacing"/>
              <w:rPr>
                <w:i/>
              </w:rPr>
            </w:pPr>
            <w:proofErr w:type="spellStart"/>
            <w:r w:rsidRPr="002C387C">
              <w:rPr>
                <w:i/>
              </w:rPr>
              <w:t>Acinetobacter</w:t>
            </w:r>
            <w:proofErr w:type="spellEnd"/>
            <w:r w:rsidRPr="002C387C">
              <w:rPr>
                <w:i/>
              </w:rPr>
              <w:t xml:space="preserve"> </w:t>
            </w:r>
            <w:proofErr w:type="spellStart"/>
            <w:r w:rsidRPr="002C387C">
              <w:rPr>
                <w:i/>
              </w:rPr>
              <w:t>spp</w:t>
            </w:r>
            <w:proofErr w:type="spellEnd"/>
            <w:r w:rsidRPr="002C387C">
              <w:rPr>
                <w:i/>
              </w:rPr>
              <w:t xml:space="preserve">. 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49C11314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carbapenemase</w:t>
            </w:r>
            <w:proofErr w:type="spellEnd"/>
          </w:p>
        </w:tc>
        <w:tc>
          <w:tcPr>
            <w:tcW w:w="3969" w:type="dxa"/>
            <w:shd w:val="clear" w:color="auto" w:fill="D9D9D9" w:themeFill="background1" w:themeFillShade="D9"/>
            <w:hideMark/>
          </w:tcPr>
          <w:p w14:paraId="0F05D384" w14:textId="77777777" w:rsidR="003416B0" w:rsidRPr="003416B0" w:rsidRDefault="003416B0" w:rsidP="003416B0">
            <w:pPr>
              <w:pStyle w:val="NoSpacing"/>
            </w:pPr>
            <w:r w:rsidRPr="003416B0">
              <w:t>niet opnemen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D901BFC" w14:textId="77777777" w:rsidR="003416B0" w:rsidRPr="003416B0" w:rsidRDefault="003416B0" w:rsidP="003416B0">
            <w:pPr>
              <w:pStyle w:val="NoSpacing"/>
            </w:pPr>
            <w:r w:rsidRPr="003416B0">
              <w:t>eruit</w:t>
            </w:r>
          </w:p>
        </w:tc>
      </w:tr>
      <w:tr w:rsidR="003416B0" w:rsidRPr="003416B0" w14:paraId="2D0D4EB5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FD538A6" w14:textId="77777777" w:rsidR="003416B0" w:rsidRPr="002C387C" w:rsidRDefault="003416B0" w:rsidP="003416B0">
            <w:pPr>
              <w:pStyle w:val="NoSpacing"/>
              <w:rPr>
                <w:i/>
              </w:rPr>
            </w:pPr>
            <w:r w:rsidRPr="002C387C">
              <w:rPr>
                <w:i/>
              </w:rPr>
              <w:t xml:space="preserve">Pseudomonas </w:t>
            </w:r>
            <w:proofErr w:type="spellStart"/>
            <w:r w:rsidRPr="002C387C">
              <w:rPr>
                <w:i/>
              </w:rPr>
              <w:t>spp</w:t>
            </w:r>
            <w:proofErr w:type="spellEnd"/>
            <w:r w:rsidR="002C387C" w:rsidRPr="002C387C">
              <w:rPr>
                <w:i/>
              </w:rPr>
              <w:t xml:space="preserve">. 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01EAE651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carbapenemase</w:t>
            </w:r>
            <w:proofErr w:type="spellEnd"/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2B9252C5" w14:textId="77777777" w:rsidR="003416B0" w:rsidRPr="003416B0" w:rsidRDefault="003416B0" w:rsidP="003416B0">
            <w:pPr>
              <w:pStyle w:val="NoSpacing"/>
            </w:pPr>
            <w:r w:rsidRPr="003416B0">
              <w:t>wel overwogen, maar niet opnemen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77E22E4" w14:textId="77777777" w:rsidR="003416B0" w:rsidRPr="003416B0" w:rsidRDefault="005C36E4" w:rsidP="003416B0">
            <w:pPr>
              <w:pStyle w:val="NoSpacing"/>
            </w:pPr>
            <w:r>
              <w:t>niet opnemen</w:t>
            </w:r>
          </w:p>
        </w:tc>
      </w:tr>
      <w:tr w:rsidR="00AE2528" w:rsidRPr="003416B0" w14:paraId="6A668264" w14:textId="77777777" w:rsidTr="002C387C">
        <w:trPr>
          <w:trHeight w:val="315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2915356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Enterobacterales</w:t>
            </w:r>
            <w:proofErr w:type="spellEnd"/>
            <w:r w:rsidRPr="003416B0">
              <w:t xml:space="preserve"> groep II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14:paraId="4C37056D" w14:textId="22B8E6FE" w:rsidR="003416B0" w:rsidRPr="003416B0" w:rsidRDefault="00AD4D8C" w:rsidP="003416B0">
            <w:pPr>
              <w:pStyle w:val="NoSpacing"/>
              <w:rPr>
                <w:lang w:val="en-GB"/>
              </w:rPr>
            </w:pPr>
            <w:proofErr w:type="spellStart"/>
            <w:r>
              <w:rPr>
                <w:lang w:val="en-US"/>
              </w:rPr>
              <w:t>aminoglycosiden</w:t>
            </w:r>
            <w:proofErr w:type="spellEnd"/>
            <w:r w:rsidR="003416B0" w:rsidRPr="00AD4D8C">
              <w:rPr>
                <w:lang w:val="en-US"/>
              </w:rPr>
              <w:t>+ ciprofloxacin + co-trim</w:t>
            </w:r>
            <w:proofErr w:type="spellStart"/>
            <w:r w:rsidR="003416B0" w:rsidRPr="003416B0">
              <w:rPr>
                <w:lang w:val="en-GB"/>
              </w:rPr>
              <w:t>oxazol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</w:tcBorders>
            <w:hideMark/>
          </w:tcPr>
          <w:p w14:paraId="75D7F1BF" w14:textId="77777777" w:rsidR="003416B0" w:rsidRPr="003416B0" w:rsidRDefault="003416B0" w:rsidP="003416B0">
            <w:pPr>
              <w:pStyle w:val="NoSpacing"/>
            </w:pPr>
            <w:r w:rsidRPr="003416B0">
              <w:t>nieuw, weinig behandelopties</w:t>
            </w:r>
          </w:p>
        </w:tc>
        <w:tc>
          <w:tcPr>
            <w:tcW w:w="165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786233B4" w14:textId="77777777" w:rsidR="003416B0" w:rsidRPr="003416B0" w:rsidRDefault="003416B0" w:rsidP="003416B0">
            <w:pPr>
              <w:pStyle w:val="NoSpacing"/>
            </w:pPr>
            <w:r w:rsidRPr="003416B0">
              <w:t>nieuw</w:t>
            </w:r>
          </w:p>
        </w:tc>
      </w:tr>
      <w:tr w:rsidR="00AE2528" w:rsidRPr="003416B0" w14:paraId="50C492A1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79A515DC" w14:textId="77777777" w:rsidR="003416B0" w:rsidRPr="003416B0" w:rsidRDefault="003416B0" w:rsidP="003416B0">
            <w:pPr>
              <w:pStyle w:val="NoSpacing"/>
            </w:pPr>
            <w:proofErr w:type="spellStart"/>
            <w:r w:rsidRPr="003416B0">
              <w:t>Enterobacterales</w:t>
            </w:r>
            <w:proofErr w:type="spellEnd"/>
            <w:r w:rsidRPr="003416B0">
              <w:t xml:space="preserve"> groep I</w:t>
            </w:r>
          </w:p>
        </w:tc>
        <w:tc>
          <w:tcPr>
            <w:tcW w:w="5670" w:type="dxa"/>
            <w:tcBorders>
              <w:left w:val="single" w:sz="12" w:space="0" w:color="auto"/>
            </w:tcBorders>
            <w:hideMark/>
          </w:tcPr>
          <w:p w14:paraId="4D448977" w14:textId="77777777" w:rsidR="003416B0" w:rsidRPr="003416B0" w:rsidRDefault="00AE2528" w:rsidP="003416B0">
            <w:pPr>
              <w:pStyle w:val="NoSpacing"/>
            </w:pPr>
            <w:r>
              <w:t>Derde generatie cefalosporines</w:t>
            </w:r>
          </w:p>
        </w:tc>
        <w:tc>
          <w:tcPr>
            <w:tcW w:w="3969" w:type="dxa"/>
            <w:hideMark/>
          </w:tcPr>
          <w:p w14:paraId="595A6D79" w14:textId="023D6D24" w:rsidR="003416B0" w:rsidRPr="003416B0" w:rsidRDefault="002F2F24" w:rsidP="003416B0">
            <w:pPr>
              <w:pStyle w:val="NoSpacing"/>
            </w:pPr>
            <w:r>
              <w:t>Cefalosporines R (</w:t>
            </w:r>
            <w:r w:rsidR="00AE2528">
              <w:t xml:space="preserve">ESBL en </w:t>
            </w:r>
            <w:proofErr w:type="spellStart"/>
            <w:r w:rsidR="00AE2528">
              <w:t>pAmpC</w:t>
            </w:r>
            <w:proofErr w:type="spellEnd"/>
            <w:r>
              <w:t>)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noWrap/>
            <w:hideMark/>
          </w:tcPr>
          <w:p w14:paraId="7D26B397" w14:textId="77777777" w:rsidR="003416B0" w:rsidRPr="003416B0" w:rsidRDefault="003416B0" w:rsidP="003416B0">
            <w:pPr>
              <w:pStyle w:val="NoSpacing"/>
            </w:pPr>
            <w:r w:rsidRPr="003416B0">
              <w:t>nieuw</w:t>
            </w:r>
          </w:p>
        </w:tc>
      </w:tr>
      <w:tr w:rsidR="003416B0" w:rsidRPr="003416B0" w14:paraId="3C6D86E4" w14:textId="77777777" w:rsidTr="002C387C">
        <w:trPr>
          <w:trHeight w:val="315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9FE2F" w14:textId="77777777" w:rsidR="003416B0" w:rsidRPr="003416B0" w:rsidRDefault="003416B0" w:rsidP="003416B0">
            <w:pPr>
              <w:pStyle w:val="NoSpacing"/>
              <w:rPr>
                <w:i/>
              </w:rPr>
            </w:pPr>
            <w:r w:rsidRPr="003416B0">
              <w:rPr>
                <w:i/>
              </w:rPr>
              <w:t xml:space="preserve">Candida </w:t>
            </w:r>
            <w:proofErr w:type="spellStart"/>
            <w:r w:rsidRPr="003416B0">
              <w:rPr>
                <w:i/>
              </w:rPr>
              <w:t>auris</w:t>
            </w:r>
            <w:proofErr w:type="spellEnd"/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6BD926CA" w14:textId="3C6C3ED6" w:rsidR="003416B0" w:rsidRPr="003416B0" w:rsidRDefault="00AD4D8C" w:rsidP="003416B0">
            <w:pPr>
              <w:pStyle w:val="NoSpacing"/>
            </w:pPr>
            <w:r>
              <w:t>Ongeacht resistentie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hideMark/>
          </w:tcPr>
          <w:p w14:paraId="04B20BCC" w14:textId="77777777" w:rsidR="003416B0" w:rsidRPr="003416B0" w:rsidRDefault="003416B0" w:rsidP="003416B0">
            <w:pPr>
              <w:pStyle w:val="NoSpacing"/>
            </w:pPr>
            <w:r w:rsidRPr="003416B0">
              <w:t xml:space="preserve">opnemen  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D7B40B0" w14:textId="77777777" w:rsidR="003416B0" w:rsidRPr="003416B0" w:rsidRDefault="003416B0" w:rsidP="003416B0">
            <w:pPr>
              <w:pStyle w:val="NoSpacing"/>
            </w:pPr>
            <w:r w:rsidRPr="003416B0">
              <w:t>nieuw</w:t>
            </w:r>
          </w:p>
        </w:tc>
      </w:tr>
    </w:tbl>
    <w:p w14:paraId="50DCA255" w14:textId="77777777" w:rsidR="00675A9E" w:rsidRDefault="00675A9E" w:rsidP="00675A9E">
      <w:pPr>
        <w:pStyle w:val="NoSpacing"/>
      </w:pPr>
      <w:r>
        <w:fldChar w:fldCharType="begin"/>
      </w:r>
      <w:r>
        <w:instrText xml:space="preserve"> LINK Excel.Sheet.12 "\\\\amc.intra\\users\\R\\rvanmansfeld\\home\\Desktop\\BRMO HIP\\BRMO voorstel 20210531.xlsx" "overzich!R1K1:R20K9" \a \f 5 \h  \* MERGEFORMAT </w:instrText>
      </w:r>
      <w:r>
        <w:fldChar w:fldCharType="separate"/>
      </w:r>
    </w:p>
    <w:p w14:paraId="3B4C77FD" w14:textId="55D8F91F" w:rsidR="000B46FF" w:rsidRDefault="00675A9E" w:rsidP="00675A9E">
      <w:pPr>
        <w:pStyle w:val="NoSpacing"/>
      </w:pPr>
      <w:r>
        <w:fldChar w:fldCharType="end"/>
      </w:r>
      <w:r w:rsidR="00100686">
        <w:t xml:space="preserve">* Bij </w:t>
      </w:r>
      <w:r w:rsidR="00100686" w:rsidRPr="00100686">
        <w:rPr>
          <w:i/>
        </w:rPr>
        <w:t>Proteus</w:t>
      </w:r>
      <w:r w:rsidR="00100686">
        <w:t xml:space="preserve">, </w:t>
      </w:r>
      <w:proofErr w:type="spellStart"/>
      <w:r w:rsidR="00100686" w:rsidRPr="00100686">
        <w:rPr>
          <w:i/>
        </w:rPr>
        <w:t>Providencia</w:t>
      </w:r>
      <w:proofErr w:type="spellEnd"/>
      <w:r w:rsidR="00100686">
        <w:t xml:space="preserve"> en </w:t>
      </w:r>
      <w:proofErr w:type="spellStart"/>
      <w:r w:rsidR="00100686" w:rsidRPr="00100686">
        <w:rPr>
          <w:i/>
        </w:rPr>
        <w:t>Morganella</w:t>
      </w:r>
      <w:proofErr w:type="spellEnd"/>
      <w:r w:rsidR="00100686" w:rsidRPr="00100686">
        <w:rPr>
          <w:i/>
        </w:rPr>
        <w:t xml:space="preserve"> </w:t>
      </w:r>
      <w:proofErr w:type="spellStart"/>
      <w:r w:rsidR="00100686" w:rsidRPr="00100686">
        <w:rPr>
          <w:i/>
        </w:rPr>
        <w:t>morganii</w:t>
      </w:r>
      <w:proofErr w:type="spellEnd"/>
      <w:r w:rsidR="00AD4D8C">
        <w:rPr>
          <w:i/>
        </w:rPr>
        <w:t xml:space="preserve"> </w:t>
      </w:r>
      <w:r w:rsidR="00AD4D8C">
        <w:t xml:space="preserve"> telt </w:t>
      </w:r>
      <w:r w:rsidR="00AD4D8C" w:rsidRPr="00AD4D8C">
        <w:t>imipenem</w:t>
      </w:r>
      <w:r w:rsidR="00AD4D8C">
        <w:t xml:space="preserve"> niet mee</w:t>
      </w:r>
    </w:p>
    <w:p w14:paraId="7FA3E7F8" w14:textId="0DE9B8BC" w:rsidR="000B46FF" w:rsidRDefault="00AD4D8C" w:rsidP="00675A9E">
      <w:pPr>
        <w:pStyle w:val="NoSpacing"/>
      </w:pPr>
      <w:r>
        <w:t>** of resistent tegen imipenem/</w:t>
      </w:r>
      <w:proofErr w:type="spellStart"/>
      <w:r>
        <w:t>meropenem</w:t>
      </w:r>
      <w:proofErr w:type="spellEnd"/>
      <w:r>
        <w:t xml:space="preserve"> voor labs die geen </w:t>
      </w:r>
      <w:proofErr w:type="spellStart"/>
      <w:r>
        <w:t>carbapenemase</w:t>
      </w:r>
      <w:proofErr w:type="spellEnd"/>
      <w:r>
        <w:t xml:space="preserve"> detecteren</w:t>
      </w:r>
    </w:p>
    <w:p w14:paraId="4E0704BD" w14:textId="77777777" w:rsidR="000B46FF" w:rsidRDefault="000B46FF" w:rsidP="00675A9E">
      <w:pPr>
        <w:pStyle w:val="NoSpacing"/>
      </w:pPr>
    </w:p>
    <w:p w14:paraId="49EC5351" w14:textId="77777777" w:rsidR="00100686" w:rsidRDefault="00100686" w:rsidP="00675A9E">
      <w:pPr>
        <w:pStyle w:val="NoSpacing"/>
      </w:pPr>
    </w:p>
    <w:p w14:paraId="6AF2B958" w14:textId="13D09FA3" w:rsidR="000B46FF" w:rsidRDefault="002C387C" w:rsidP="00675A9E">
      <w:pPr>
        <w:pStyle w:val="NoSpacing"/>
      </w:pPr>
      <w:r>
        <w:lastRenderedPageBreak/>
        <w:t xml:space="preserve">Tabel 2: Overzicht en overwegingen BRMO 2021 </w:t>
      </w:r>
    </w:p>
    <w:p w14:paraId="4588FF30" w14:textId="77777777" w:rsidR="00100686" w:rsidRDefault="00100686" w:rsidP="00675A9E">
      <w:pPr>
        <w:pStyle w:val="NoSpacing"/>
      </w:pPr>
    </w:p>
    <w:tbl>
      <w:tblPr>
        <w:tblStyle w:val="TableGrid"/>
        <w:tblW w:w="14542" w:type="dxa"/>
        <w:tblLayout w:type="fixed"/>
        <w:tblLook w:val="04A0" w:firstRow="1" w:lastRow="0" w:firstColumn="1" w:lastColumn="0" w:noHBand="0" w:noVBand="1"/>
      </w:tblPr>
      <w:tblGrid>
        <w:gridCol w:w="2547"/>
        <w:gridCol w:w="3411"/>
        <w:gridCol w:w="3284"/>
        <w:gridCol w:w="1369"/>
        <w:gridCol w:w="1308"/>
        <w:gridCol w:w="1308"/>
        <w:gridCol w:w="1315"/>
      </w:tblGrid>
      <w:tr w:rsidR="00100686" w:rsidRPr="000B46FF" w14:paraId="4DA8A5B1" w14:textId="77777777" w:rsidTr="00100686">
        <w:trPr>
          <w:trHeight w:val="785"/>
        </w:trPr>
        <w:tc>
          <w:tcPr>
            <w:tcW w:w="2547" w:type="dxa"/>
            <w:shd w:val="clear" w:color="auto" w:fill="BFBFBF" w:themeFill="background1" w:themeFillShade="BF"/>
            <w:hideMark/>
          </w:tcPr>
          <w:p w14:paraId="7CBD480E" w14:textId="77777777" w:rsidR="000B46FF" w:rsidRPr="000B46FF" w:rsidRDefault="000B46FF" w:rsidP="000B46FF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Microorganisme</w:t>
            </w:r>
            <w:proofErr w:type="spellEnd"/>
          </w:p>
        </w:tc>
        <w:tc>
          <w:tcPr>
            <w:tcW w:w="3411" w:type="dxa"/>
            <w:shd w:val="clear" w:color="auto" w:fill="BFBFBF" w:themeFill="background1" w:themeFillShade="BF"/>
            <w:hideMark/>
          </w:tcPr>
          <w:p w14:paraId="04822F02" w14:textId="77777777" w:rsidR="000B46FF" w:rsidRPr="000B46FF" w:rsidRDefault="000B46FF" w:rsidP="000B46F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0B46FF">
              <w:rPr>
                <w:b/>
                <w:bCs/>
              </w:rPr>
              <w:t xml:space="preserve">esistentie 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11522530" w14:textId="77777777" w:rsidR="000B46FF" w:rsidRPr="000B46FF" w:rsidRDefault="000B46FF" w:rsidP="000B46FF">
            <w:pPr>
              <w:pStyle w:val="NoSpacing"/>
              <w:rPr>
                <w:b/>
                <w:bCs/>
              </w:rPr>
            </w:pPr>
            <w:r w:rsidRPr="000B46FF">
              <w:rPr>
                <w:b/>
                <w:bCs/>
              </w:rPr>
              <w:t>Overweging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shd w:val="clear" w:color="auto" w:fill="BFBFBF" w:themeFill="background1" w:themeFillShade="BF"/>
            <w:hideMark/>
          </w:tcPr>
          <w:p w14:paraId="17696487" w14:textId="77777777" w:rsidR="000B46FF" w:rsidRPr="000B46FF" w:rsidRDefault="000B46FF" w:rsidP="000B46FF">
            <w:pPr>
              <w:pStyle w:val="NoSpacing"/>
              <w:jc w:val="center"/>
              <w:rPr>
                <w:b/>
                <w:bCs/>
              </w:rPr>
            </w:pPr>
            <w:r w:rsidRPr="000B46FF">
              <w:rPr>
                <w:b/>
                <w:bCs/>
              </w:rPr>
              <w:t>veroorzaakt ziekte</w:t>
            </w:r>
          </w:p>
        </w:tc>
        <w:tc>
          <w:tcPr>
            <w:tcW w:w="1308" w:type="dxa"/>
            <w:shd w:val="clear" w:color="auto" w:fill="BFBFBF" w:themeFill="background1" w:themeFillShade="BF"/>
            <w:hideMark/>
          </w:tcPr>
          <w:p w14:paraId="41424A76" w14:textId="77777777" w:rsidR="000B46FF" w:rsidRPr="000B46FF" w:rsidRDefault="000B46FF" w:rsidP="000B46FF">
            <w:pPr>
              <w:pStyle w:val="NoSpacing"/>
              <w:jc w:val="center"/>
              <w:rPr>
                <w:b/>
                <w:bCs/>
              </w:rPr>
            </w:pPr>
            <w:r w:rsidRPr="000B46FF">
              <w:rPr>
                <w:b/>
                <w:bCs/>
              </w:rPr>
              <w:t>belemmert standaard therapie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272F6C48" w14:textId="77777777" w:rsidR="000B46FF" w:rsidRPr="000B46FF" w:rsidRDefault="000B46FF" w:rsidP="000B46FF">
            <w:pPr>
              <w:pStyle w:val="NoSpacing"/>
              <w:jc w:val="center"/>
              <w:rPr>
                <w:b/>
                <w:bCs/>
              </w:rPr>
            </w:pPr>
            <w:r w:rsidRPr="000B46FF">
              <w:rPr>
                <w:b/>
                <w:bCs/>
              </w:rPr>
              <w:t>Overdraag</w:t>
            </w:r>
            <w:r>
              <w:rPr>
                <w:b/>
                <w:bCs/>
              </w:rPr>
              <w:t xml:space="preserve"> </w:t>
            </w:r>
            <w:r w:rsidRPr="000B46FF">
              <w:rPr>
                <w:b/>
                <w:bCs/>
              </w:rPr>
              <w:t>baarheid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BFBFBF" w:themeFill="background1" w:themeFillShade="BF"/>
            <w:hideMark/>
          </w:tcPr>
          <w:p w14:paraId="6159D0B5" w14:textId="77777777" w:rsidR="000B46FF" w:rsidRPr="000B46FF" w:rsidRDefault="000B46FF" w:rsidP="000B46F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Score* </w:t>
            </w:r>
            <w:r w:rsidRPr="000B46FF">
              <w:rPr>
                <w:b/>
                <w:bCs/>
              </w:rPr>
              <w:t>opgetelde plussen</w:t>
            </w:r>
          </w:p>
        </w:tc>
      </w:tr>
      <w:tr w:rsidR="00100686" w:rsidRPr="000B46FF" w14:paraId="670E2B34" w14:textId="77777777" w:rsidTr="00100686">
        <w:trPr>
          <w:trHeight w:val="275"/>
        </w:trPr>
        <w:tc>
          <w:tcPr>
            <w:tcW w:w="2547" w:type="dxa"/>
            <w:hideMark/>
          </w:tcPr>
          <w:p w14:paraId="59E94D64" w14:textId="77777777" w:rsidR="000B46FF" w:rsidRPr="000B46FF" w:rsidRDefault="000B46FF" w:rsidP="000B46FF">
            <w:pPr>
              <w:pStyle w:val="NoSpacing"/>
            </w:pPr>
            <w:r w:rsidRPr="000B46FF">
              <w:t xml:space="preserve">MRSA (+ </w:t>
            </w:r>
            <w:r w:rsidRPr="00100686">
              <w:rPr>
                <w:i/>
                <w:iCs/>
              </w:rPr>
              <w:t xml:space="preserve">S. </w:t>
            </w:r>
            <w:proofErr w:type="spellStart"/>
            <w:r w:rsidRPr="00100686">
              <w:rPr>
                <w:i/>
                <w:iCs/>
              </w:rPr>
              <w:t>argenteus</w:t>
            </w:r>
            <w:proofErr w:type="spellEnd"/>
            <w:r w:rsidRPr="000B46FF">
              <w:t>)</w:t>
            </w:r>
          </w:p>
        </w:tc>
        <w:tc>
          <w:tcPr>
            <w:tcW w:w="3411" w:type="dxa"/>
            <w:hideMark/>
          </w:tcPr>
          <w:p w14:paraId="664AEA37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meticilline</w:t>
            </w:r>
            <w:proofErr w:type="spellEnd"/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6308279B" w14:textId="77777777" w:rsidR="000B46FF" w:rsidRPr="000B46FF" w:rsidRDefault="000B46FF" w:rsidP="000B46FF">
            <w:pPr>
              <w:pStyle w:val="NoSpacing"/>
            </w:pPr>
            <w:r w:rsidRPr="000B46FF">
              <w:t>conform WIP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4AE4472A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08" w:type="dxa"/>
            <w:vAlign w:val="center"/>
            <w:hideMark/>
          </w:tcPr>
          <w:p w14:paraId="328AF8A4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18717203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2FAD0A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5</w:t>
            </w:r>
          </w:p>
        </w:tc>
      </w:tr>
      <w:tr w:rsidR="00100686" w:rsidRPr="000B46FF" w14:paraId="3A59AFB4" w14:textId="77777777" w:rsidTr="00100686">
        <w:trPr>
          <w:trHeight w:val="275"/>
        </w:trPr>
        <w:tc>
          <w:tcPr>
            <w:tcW w:w="2547" w:type="dxa"/>
            <w:hideMark/>
          </w:tcPr>
          <w:p w14:paraId="259C4A2D" w14:textId="77777777" w:rsidR="000B46FF" w:rsidRPr="00100686" w:rsidRDefault="000B46FF" w:rsidP="000B46FF">
            <w:pPr>
              <w:pStyle w:val="NoSpacing"/>
              <w:rPr>
                <w:i/>
                <w:iCs/>
              </w:rPr>
            </w:pPr>
            <w:r w:rsidRPr="00100686">
              <w:rPr>
                <w:i/>
                <w:iCs/>
              </w:rPr>
              <w:t xml:space="preserve">E. </w:t>
            </w:r>
            <w:proofErr w:type="spellStart"/>
            <w:r w:rsidRPr="00100686">
              <w:rPr>
                <w:i/>
                <w:iCs/>
              </w:rPr>
              <w:t>faecium</w:t>
            </w:r>
            <w:proofErr w:type="spellEnd"/>
          </w:p>
        </w:tc>
        <w:tc>
          <w:tcPr>
            <w:tcW w:w="3411" w:type="dxa"/>
            <w:hideMark/>
          </w:tcPr>
          <w:p w14:paraId="77D6637B" w14:textId="77777777" w:rsidR="000B46FF" w:rsidRPr="000B46FF" w:rsidRDefault="000B46FF" w:rsidP="000B46FF">
            <w:pPr>
              <w:pStyle w:val="NoSpacing"/>
            </w:pPr>
            <w:r w:rsidRPr="000B46FF">
              <w:t>vancomycine en penicilline-groep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76B35C4B" w14:textId="77777777" w:rsidR="000B46FF" w:rsidRPr="000B46FF" w:rsidRDefault="000B46FF" w:rsidP="000B46FF">
            <w:pPr>
              <w:pStyle w:val="NoSpacing"/>
            </w:pPr>
            <w:r w:rsidRPr="000B46FF">
              <w:t>conform WIP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59E897C4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vAlign w:val="center"/>
            <w:hideMark/>
          </w:tcPr>
          <w:p w14:paraId="4B13110B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3581C0D8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FDCE2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4</w:t>
            </w:r>
          </w:p>
        </w:tc>
      </w:tr>
      <w:tr w:rsidR="00100686" w:rsidRPr="000B46FF" w14:paraId="59B3B6B6" w14:textId="77777777" w:rsidTr="00100686">
        <w:trPr>
          <w:trHeight w:val="539"/>
        </w:trPr>
        <w:tc>
          <w:tcPr>
            <w:tcW w:w="2547" w:type="dxa"/>
            <w:hideMark/>
          </w:tcPr>
          <w:p w14:paraId="1DB671EC" w14:textId="77777777" w:rsidR="000B46FF" w:rsidRPr="00100686" w:rsidRDefault="000B46FF" w:rsidP="000B46FF">
            <w:pPr>
              <w:pStyle w:val="NoSpacing"/>
              <w:rPr>
                <w:i/>
              </w:rPr>
            </w:pPr>
            <w:r w:rsidRPr="00100686">
              <w:rPr>
                <w:i/>
              </w:rPr>
              <w:t>Pseudomonas aeruginosa</w:t>
            </w:r>
          </w:p>
        </w:tc>
        <w:tc>
          <w:tcPr>
            <w:tcW w:w="3411" w:type="dxa"/>
            <w:hideMark/>
          </w:tcPr>
          <w:p w14:paraId="7B3D22ED" w14:textId="77777777" w:rsidR="000B46FF" w:rsidRPr="000B46FF" w:rsidRDefault="000B46FF" w:rsidP="000B46FF">
            <w:pPr>
              <w:pStyle w:val="NoSpacing"/>
            </w:pPr>
            <w:r w:rsidRPr="000B46FF">
              <w:rPr>
                <w:u w:val="single"/>
              </w:rPr>
              <w:t>&gt;</w:t>
            </w:r>
            <w:r w:rsidRPr="000B46FF">
              <w:t xml:space="preserve"> 3 klassen (aminoglycosiden, </w:t>
            </w:r>
            <w:proofErr w:type="spellStart"/>
            <w:r w:rsidRPr="000B46FF">
              <w:t>carbapenem</w:t>
            </w:r>
            <w:proofErr w:type="spellEnd"/>
            <w:r w:rsidRPr="000B46FF">
              <w:t xml:space="preserve">, </w:t>
            </w:r>
            <w:proofErr w:type="spellStart"/>
            <w:r w:rsidRPr="000B46FF">
              <w:t>piperacilline</w:t>
            </w:r>
            <w:proofErr w:type="spellEnd"/>
            <w:r w:rsidRPr="000B46FF">
              <w:t xml:space="preserve">, ceftazidim, </w:t>
            </w:r>
            <w:proofErr w:type="spellStart"/>
            <w:r w:rsidRPr="000B46FF">
              <w:t>fluorchinolonen</w:t>
            </w:r>
            <w:proofErr w:type="spellEnd"/>
            <w:r w:rsidRPr="000B46FF">
              <w:t>)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7371E724" w14:textId="77777777" w:rsidR="000B46FF" w:rsidRPr="000B46FF" w:rsidRDefault="000B46FF" w:rsidP="000B46FF">
            <w:pPr>
              <w:pStyle w:val="NoSpacing"/>
            </w:pPr>
            <w:r w:rsidRPr="000B46FF">
              <w:t>conform WIP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73BD3275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vAlign w:val="center"/>
            <w:hideMark/>
          </w:tcPr>
          <w:p w14:paraId="3C459F60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+(+)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55FFFCDE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4A611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3 of 4</w:t>
            </w:r>
          </w:p>
        </w:tc>
      </w:tr>
      <w:tr w:rsidR="00100686" w:rsidRPr="000B46FF" w14:paraId="4CC53EC5" w14:textId="77777777" w:rsidTr="00100686">
        <w:trPr>
          <w:trHeight w:val="554"/>
        </w:trPr>
        <w:tc>
          <w:tcPr>
            <w:tcW w:w="2547" w:type="dxa"/>
            <w:hideMark/>
          </w:tcPr>
          <w:p w14:paraId="5E754A78" w14:textId="77777777" w:rsidR="000B46FF" w:rsidRPr="000B46FF" w:rsidRDefault="000B46FF" w:rsidP="000B46FF">
            <w:pPr>
              <w:pStyle w:val="NoSpacing"/>
            </w:pPr>
            <w:proofErr w:type="spellStart"/>
            <w:r w:rsidRPr="00100686">
              <w:rPr>
                <w:i/>
              </w:rPr>
              <w:t>Acinetobacter</w:t>
            </w:r>
            <w:proofErr w:type="spellEnd"/>
            <w:r w:rsidRPr="00100686">
              <w:rPr>
                <w:i/>
              </w:rPr>
              <w:t xml:space="preserve"> </w:t>
            </w:r>
            <w:proofErr w:type="spellStart"/>
            <w:r w:rsidRPr="00100686">
              <w:rPr>
                <w:i/>
              </w:rPr>
              <w:t>baumannii</w:t>
            </w:r>
            <w:proofErr w:type="spellEnd"/>
            <w:r w:rsidRPr="000B46FF">
              <w:t xml:space="preserve"> complex</w:t>
            </w:r>
          </w:p>
        </w:tc>
        <w:tc>
          <w:tcPr>
            <w:tcW w:w="3411" w:type="dxa"/>
            <w:hideMark/>
          </w:tcPr>
          <w:p w14:paraId="54B6BC14" w14:textId="77777777" w:rsidR="000B46FF" w:rsidRPr="000B46FF" w:rsidRDefault="000B46FF" w:rsidP="000B46FF">
            <w:pPr>
              <w:pStyle w:val="NoSpacing"/>
              <w:rPr>
                <w:lang w:val="en-GB"/>
              </w:rPr>
            </w:pPr>
            <w:r w:rsidRPr="000B46FF">
              <w:rPr>
                <w:u w:val="single"/>
                <w:lang w:val="en-GB"/>
              </w:rPr>
              <w:t>&gt;</w:t>
            </w:r>
            <w:r w:rsidRPr="000B46FF">
              <w:rPr>
                <w:lang w:val="en-GB"/>
              </w:rPr>
              <w:t xml:space="preserve"> 2 </w:t>
            </w:r>
            <w:proofErr w:type="spellStart"/>
            <w:r w:rsidRPr="000B46FF">
              <w:rPr>
                <w:lang w:val="en-GB"/>
              </w:rPr>
              <w:t>klassen</w:t>
            </w:r>
            <w:proofErr w:type="spellEnd"/>
            <w:r w:rsidRPr="000B46FF">
              <w:rPr>
                <w:lang w:val="en-GB"/>
              </w:rPr>
              <w:t xml:space="preserve"> (</w:t>
            </w:r>
            <w:proofErr w:type="spellStart"/>
            <w:r w:rsidRPr="000B46FF">
              <w:rPr>
                <w:lang w:val="en-GB"/>
              </w:rPr>
              <w:t>aminoglycosiden</w:t>
            </w:r>
            <w:proofErr w:type="spellEnd"/>
            <w:r w:rsidRPr="000B46FF">
              <w:rPr>
                <w:lang w:val="en-GB"/>
              </w:rPr>
              <w:t xml:space="preserve">, </w:t>
            </w:r>
            <w:proofErr w:type="spellStart"/>
            <w:r w:rsidRPr="000B46FF">
              <w:rPr>
                <w:lang w:val="en-GB"/>
              </w:rPr>
              <w:t>ciprofloxacine</w:t>
            </w:r>
            <w:proofErr w:type="spellEnd"/>
            <w:r w:rsidRPr="000B46FF">
              <w:rPr>
                <w:lang w:val="en-GB"/>
              </w:rPr>
              <w:t xml:space="preserve"> of </w:t>
            </w:r>
            <w:proofErr w:type="spellStart"/>
            <w:r w:rsidRPr="000B46FF">
              <w:rPr>
                <w:lang w:val="en-GB"/>
              </w:rPr>
              <w:t>levofloxacine</w:t>
            </w:r>
            <w:proofErr w:type="spellEnd"/>
            <w:r w:rsidRPr="000B46FF">
              <w:rPr>
                <w:lang w:val="en-GB"/>
              </w:rPr>
              <w:t>)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015A26FB" w14:textId="77777777" w:rsidR="000B46FF" w:rsidRPr="000B46FF" w:rsidRDefault="000B46FF" w:rsidP="000B46FF">
            <w:pPr>
              <w:pStyle w:val="NoSpacing"/>
            </w:pPr>
            <w:r w:rsidRPr="000B46FF">
              <w:t>conform WIP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7A962B3E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vAlign w:val="center"/>
            <w:hideMark/>
          </w:tcPr>
          <w:p w14:paraId="6E05F557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75A1EDBC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A2B1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4</w:t>
            </w:r>
          </w:p>
        </w:tc>
      </w:tr>
      <w:tr w:rsidR="00100686" w:rsidRPr="000B46FF" w14:paraId="25F652D5" w14:textId="77777777" w:rsidTr="00100686">
        <w:trPr>
          <w:trHeight w:val="275"/>
        </w:trPr>
        <w:tc>
          <w:tcPr>
            <w:tcW w:w="2547" w:type="dxa"/>
            <w:hideMark/>
          </w:tcPr>
          <w:p w14:paraId="4605E4BB" w14:textId="77777777" w:rsidR="000B46FF" w:rsidRPr="000B46FF" w:rsidRDefault="000B46FF" w:rsidP="000B46FF">
            <w:pPr>
              <w:pStyle w:val="NoSpacing"/>
            </w:pPr>
            <w:proofErr w:type="spellStart"/>
            <w:r w:rsidRPr="00100686">
              <w:rPr>
                <w:i/>
              </w:rPr>
              <w:t>Acinetobacter</w:t>
            </w:r>
            <w:proofErr w:type="spellEnd"/>
            <w:r w:rsidRPr="00100686">
              <w:rPr>
                <w:i/>
              </w:rPr>
              <w:t xml:space="preserve"> </w:t>
            </w:r>
            <w:proofErr w:type="spellStart"/>
            <w:r w:rsidRPr="00100686">
              <w:rPr>
                <w:i/>
              </w:rPr>
              <w:t>baumannii</w:t>
            </w:r>
            <w:proofErr w:type="spellEnd"/>
            <w:r w:rsidRPr="000B46FF">
              <w:t xml:space="preserve"> complex</w:t>
            </w:r>
          </w:p>
        </w:tc>
        <w:tc>
          <w:tcPr>
            <w:tcW w:w="3411" w:type="dxa"/>
            <w:hideMark/>
          </w:tcPr>
          <w:p w14:paraId="6B24B99D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carbapenemase</w:t>
            </w:r>
            <w:proofErr w:type="spellEnd"/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7AF1BA83" w14:textId="77777777" w:rsidR="000B46FF" w:rsidRPr="000B46FF" w:rsidRDefault="000B46FF" w:rsidP="000B46FF">
            <w:pPr>
              <w:pStyle w:val="NoSpacing"/>
            </w:pPr>
            <w:r w:rsidRPr="000B46FF">
              <w:t>conform WIP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268D24C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vAlign w:val="center"/>
            <w:hideMark/>
          </w:tcPr>
          <w:p w14:paraId="0FC9DE5C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4E643BF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5E97E6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5</w:t>
            </w:r>
          </w:p>
        </w:tc>
      </w:tr>
      <w:tr w:rsidR="00100686" w:rsidRPr="000B46FF" w14:paraId="1704C36A" w14:textId="77777777" w:rsidTr="00100686">
        <w:trPr>
          <w:trHeight w:val="275"/>
        </w:trPr>
        <w:tc>
          <w:tcPr>
            <w:tcW w:w="2547" w:type="dxa"/>
            <w:hideMark/>
          </w:tcPr>
          <w:p w14:paraId="75D48E04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Enterobacterales</w:t>
            </w:r>
            <w:proofErr w:type="spellEnd"/>
            <w:r w:rsidRPr="000B46FF">
              <w:t xml:space="preserve"> groep I</w:t>
            </w:r>
          </w:p>
        </w:tc>
        <w:tc>
          <w:tcPr>
            <w:tcW w:w="3411" w:type="dxa"/>
            <w:hideMark/>
          </w:tcPr>
          <w:p w14:paraId="76592B15" w14:textId="77777777" w:rsidR="000B46FF" w:rsidRPr="000B46FF" w:rsidRDefault="000B46FF" w:rsidP="000B46FF">
            <w:pPr>
              <w:pStyle w:val="NoSpacing"/>
            </w:pPr>
            <w:r w:rsidRPr="000B46FF">
              <w:t xml:space="preserve">3de generatie </w:t>
            </w:r>
            <w:proofErr w:type="spellStart"/>
            <w:r w:rsidRPr="000B46FF">
              <w:t>cephalosporines</w:t>
            </w:r>
            <w:proofErr w:type="spellEnd"/>
            <w:r w:rsidRPr="000B46FF">
              <w:t xml:space="preserve"> 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55D6B9BE" w14:textId="77777777" w:rsidR="000B46FF" w:rsidRPr="000B46FF" w:rsidRDefault="000B46FF" w:rsidP="000B46FF">
            <w:pPr>
              <w:pStyle w:val="NoSpacing"/>
            </w:pPr>
            <w:r w:rsidRPr="000B46FF">
              <w:t>minder behandelopties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29A08445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08" w:type="dxa"/>
            <w:vAlign w:val="center"/>
            <w:hideMark/>
          </w:tcPr>
          <w:p w14:paraId="0DFF012B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0ADC87A5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4C812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4</w:t>
            </w:r>
          </w:p>
        </w:tc>
      </w:tr>
      <w:tr w:rsidR="00100686" w:rsidRPr="000B46FF" w14:paraId="6FCEF053" w14:textId="77777777" w:rsidTr="00100686">
        <w:trPr>
          <w:trHeight w:val="554"/>
        </w:trPr>
        <w:tc>
          <w:tcPr>
            <w:tcW w:w="2547" w:type="dxa"/>
            <w:hideMark/>
          </w:tcPr>
          <w:p w14:paraId="2CC97D18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Enterobacterales</w:t>
            </w:r>
            <w:proofErr w:type="spellEnd"/>
            <w:r w:rsidRPr="000B46FF">
              <w:t xml:space="preserve"> groep II</w:t>
            </w:r>
          </w:p>
        </w:tc>
        <w:tc>
          <w:tcPr>
            <w:tcW w:w="3411" w:type="dxa"/>
            <w:hideMark/>
          </w:tcPr>
          <w:p w14:paraId="48D0D56A" w14:textId="77777777" w:rsidR="000B46FF" w:rsidRPr="000B46FF" w:rsidRDefault="000B46FF" w:rsidP="000B46FF">
            <w:pPr>
              <w:pStyle w:val="NoSpacing"/>
              <w:rPr>
                <w:lang w:val="en-GB"/>
              </w:rPr>
            </w:pPr>
            <w:proofErr w:type="spellStart"/>
            <w:r w:rsidRPr="000B46FF">
              <w:rPr>
                <w:lang w:val="en-GB"/>
              </w:rPr>
              <w:t>gentamicine</w:t>
            </w:r>
            <w:proofErr w:type="spellEnd"/>
            <w:r w:rsidRPr="000B46FF">
              <w:rPr>
                <w:lang w:val="en-GB"/>
              </w:rPr>
              <w:t xml:space="preserve"> of </w:t>
            </w:r>
            <w:proofErr w:type="spellStart"/>
            <w:r w:rsidRPr="000B46FF">
              <w:rPr>
                <w:lang w:val="en-GB"/>
              </w:rPr>
              <w:t>tobramycine</w:t>
            </w:r>
            <w:proofErr w:type="spellEnd"/>
            <w:r w:rsidRPr="000B46FF">
              <w:rPr>
                <w:lang w:val="en-GB"/>
              </w:rPr>
              <w:t xml:space="preserve">+ </w:t>
            </w:r>
            <w:proofErr w:type="spellStart"/>
            <w:r w:rsidRPr="000B46FF">
              <w:rPr>
                <w:lang w:val="en-GB"/>
              </w:rPr>
              <w:t>ciprofloxacin+co-trimoxazol</w:t>
            </w:r>
            <w:proofErr w:type="spellEnd"/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0E98193B" w14:textId="77777777" w:rsidR="000B46FF" w:rsidRPr="000B46FF" w:rsidRDefault="000B46FF" w:rsidP="000B46FF">
            <w:pPr>
              <w:pStyle w:val="NoSpacing"/>
            </w:pPr>
            <w:r w:rsidRPr="000B46FF">
              <w:t>weinig behandelopties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7C0C981D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08" w:type="dxa"/>
            <w:vAlign w:val="center"/>
            <w:hideMark/>
          </w:tcPr>
          <w:p w14:paraId="0A348CC5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1D091B57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A8DC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4</w:t>
            </w:r>
          </w:p>
        </w:tc>
      </w:tr>
      <w:tr w:rsidR="00100686" w:rsidRPr="000B46FF" w14:paraId="6F996CA1" w14:textId="77777777" w:rsidTr="00100686">
        <w:trPr>
          <w:trHeight w:val="554"/>
        </w:trPr>
        <w:tc>
          <w:tcPr>
            <w:tcW w:w="2547" w:type="dxa"/>
            <w:hideMark/>
          </w:tcPr>
          <w:p w14:paraId="70E68DD9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Enterobacterales</w:t>
            </w:r>
            <w:proofErr w:type="spellEnd"/>
          </w:p>
        </w:tc>
        <w:tc>
          <w:tcPr>
            <w:tcW w:w="3411" w:type="dxa"/>
            <w:hideMark/>
          </w:tcPr>
          <w:p w14:paraId="57DCA036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carbapenem</w:t>
            </w:r>
            <w:proofErr w:type="spellEnd"/>
            <w:r w:rsidRPr="000B46FF">
              <w:t xml:space="preserve"> (onafhankelijk van mechanisme)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45FB247D" w14:textId="77777777" w:rsidR="000B46FF" w:rsidRPr="000B46FF" w:rsidRDefault="000B46FF" w:rsidP="000B46FF">
            <w:pPr>
              <w:pStyle w:val="NoSpacing"/>
            </w:pPr>
            <w:r w:rsidRPr="000B46FF">
              <w:t>minder behandelopties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4EB3A654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08" w:type="dxa"/>
            <w:vAlign w:val="center"/>
            <w:hideMark/>
          </w:tcPr>
          <w:p w14:paraId="5D00B2F7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7EDE8E62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951F1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5</w:t>
            </w:r>
          </w:p>
        </w:tc>
      </w:tr>
      <w:tr w:rsidR="00100686" w:rsidRPr="000B46FF" w14:paraId="307CD301" w14:textId="77777777" w:rsidTr="00100686">
        <w:trPr>
          <w:trHeight w:val="275"/>
        </w:trPr>
        <w:tc>
          <w:tcPr>
            <w:tcW w:w="2547" w:type="dxa"/>
            <w:hideMark/>
          </w:tcPr>
          <w:p w14:paraId="6BE953C6" w14:textId="77777777" w:rsidR="000B46FF" w:rsidRPr="00100686" w:rsidRDefault="000B46FF" w:rsidP="000B46FF">
            <w:pPr>
              <w:pStyle w:val="NoSpacing"/>
              <w:rPr>
                <w:i/>
              </w:rPr>
            </w:pPr>
            <w:r w:rsidRPr="00100686">
              <w:rPr>
                <w:i/>
              </w:rPr>
              <w:t xml:space="preserve">Candida </w:t>
            </w:r>
            <w:proofErr w:type="spellStart"/>
            <w:r w:rsidRPr="00100686">
              <w:rPr>
                <w:i/>
              </w:rPr>
              <w:t>auris</w:t>
            </w:r>
            <w:proofErr w:type="spellEnd"/>
          </w:p>
        </w:tc>
        <w:tc>
          <w:tcPr>
            <w:tcW w:w="3411" w:type="dxa"/>
            <w:hideMark/>
          </w:tcPr>
          <w:p w14:paraId="713FB35C" w14:textId="77777777" w:rsidR="000B46FF" w:rsidRPr="000B46FF" w:rsidRDefault="000B46FF" w:rsidP="000B46FF">
            <w:pPr>
              <w:pStyle w:val="NoSpacing"/>
            </w:pPr>
            <w:r w:rsidRPr="000B46FF">
              <w:t>azolen en/of amfotericine B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hideMark/>
          </w:tcPr>
          <w:p w14:paraId="33D0C7EF" w14:textId="77777777" w:rsidR="000B46FF" w:rsidRPr="000B46FF" w:rsidRDefault="000B46FF" w:rsidP="000B46FF">
            <w:pPr>
              <w:pStyle w:val="NoSpacing"/>
            </w:pPr>
            <w:r w:rsidRPr="000B46FF">
              <w:t>weinig behandelopties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vAlign w:val="center"/>
            <w:hideMark/>
          </w:tcPr>
          <w:p w14:paraId="6B92EAD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vAlign w:val="center"/>
            <w:hideMark/>
          </w:tcPr>
          <w:p w14:paraId="7E495F0D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vAlign w:val="center"/>
            <w:hideMark/>
          </w:tcPr>
          <w:p w14:paraId="5FD0613E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F7A8A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4</w:t>
            </w:r>
          </w:p>
        </w:tc>
      </w:tr>
      <w:tr w:rsidR="000B46FF" w:rsidRPr="000B46FF" w14:paraId="02FB0E8D" w14:textId="77777777" w:rsidTr="00100686">
        <w:trPr>
          <w:trHeight w:val="403"/>
        </w:trPr>
        <w:tc>
          <w:tcPr>
            <w:tcW w:w="1454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B7A328" w14:textId="2D65D023" w:rsidR="000B46FF" w:rsidRPr="000B46FF" w:rsidRDefault="000B46FF" w:rsidP="005C36E4">
            <w:pPr>
              <w:pStyle w:val="NoSpacing"/>
              <w:rPr>
                <w:b/>
              </w:rPr>
            </w:pPr>
            <w:r w:rsidRPr="000B46FF">
              <w:rPr>
                <w:b/>
              </w:rPr>
              <w:t xml:space="preserve">Niet </w:t>
            </w:r>
            <w:r w:rsidR="00100686">
              <w:rPr>
                <w:b/>
              </w:rPr>
              <w:t>(</w:t>
            </w:r>
            <w:r w:rsidRPr="000B46FF">
              <w:rPr>
                <w:b/>
              </w:rPr>
              <w:t>meer</w:t>
            </w:r>
            <w:r w:rsidR="00100686">
              <w:rPr>
                <w:b/>
              </w:rPr>
              <w:t>)</w:t>
            </w:r>
            <w:r w:rsidRPr="000B46FF">
              <w:rPr>
                <w:b/>
              </w:rPr>
              <w:t xml:space="preserve"> als BRMO</w:t>
            </w:r>
          </w:p>
        </w:tc>
      </w:tr>
      <w:tr w:rsidR="00100686" w:rsidRPr="000B46FF" w14:paraId="0AF93695" w14:textId="77777777" w:rsidTr="00100686">
        <w:trPr>
          <w:trHeight w:val="275"/>
        </w:trPr>
        <w:tc>
          <w:tcPr>
            <w:tcW w:w="2547" w:type="dxa"/>
            <w:shd w:val="clear" w:color="auto" w:fill="F2F2F2" w:themeFill="background1" w:themeFillShade="F2"/>
            <w:hideMark/>
          </w:tcPr>
          <w:p w14:paraId="7469E29A" w14:textId="77777777" w:rsidR="000B46FF" w:rsidRPr="00100686" w:rsidRDefault="000B46FF" w:rsidP="000B46FF">
            <w:pPr>
              <w:pStyle w:val="NoSpacing"/>
              <w:rPr>
                <w:i/>
                <w:iCs/>
              </w:rPr>
            </w:pPr>
            <w:r w:rsidRPr="00100686">
              <w:rPr>
                <w:i/>
                <w:iCs/>
              </w:rPr>
              <w:t>S. pneumoniae</w:t>
            </w:r>
          </w:p>
        </w:tc>
        <w:tc>
          <w:tcPr>
            <w:tcW w:w="3411" w:type="dxa"/>
            <w:shd w:val="clear" w:color="auto" w:fill="F2F2F2" w:themeFill="background1" w:themeFillShade="F2"/>
            <w:hideMark/>
          </w:tcPr>
          <w:p w14:paraId="1D2734AC" w14:textId="77777777" w:rsidR="000B46FF" w:rsidRPr="000B46FF" w:rsidRDefault="000B46FF" w:rsidP="000B46FF">
            <w:pPr>
              <w:pStyle w:val="NoSpacing"/>
            </w:pPr>
            <w:r w:rsidRPr="000B46FF">
              <w:t>vancomycine of penicilline-groep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41C654F" w14:textId="77777777" w:rsidR="000B46FF" w:rsidRPr="000B46FF" w:rsidRDefault="000B46FF" w:rsidP="000B46FF">
            <w:pPr>
              <w:pStyle w:val="NoSpacing"/>
            </w:pPr>
            <w:r w:rsidRPr="000B46FF">
              <w:t>lage score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672B5D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  <w:hideMark/>
          </w:tcPr>
          <w:p w14:paraId="20F77A4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-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BF546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-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D70B2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2</w:t>
            </w:r>
          </w:p>
        </w:tc>
      </w:tr>
      <w:tr w:rsidR="00100686" w:rsidRPr="000B46FF" w14:paraId="44F8C95A" w14:textId="77777777" w:rsidTr="00100686">
        <w:trPr>
          <w:trHeight w:val="275"/>
        </w:trPr>
        <w:tc>
          <w:tcPr>
            <w:tcW w:w="2547" w:type="dxa"/>
            <w:shd w:val="clear" w:color="auto" w:fill="F2F2F2" w:themeFill="background1" w:themeFillShade="F2"/>
            <w:hideMark/>
          </w:tcPr>
          <w:p w14:paraId="15AFA469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Enterobacterales</w:t>
            </w:r>
            <w:proofErr w:type="spellEnd"/>
          </w:p>
        </w:tc>
        <w:tc>
          <w:tcPr>
            <w:tcW w:w="3411" w:type="dxa"/>
            <w:shd w:val="clear" w:color="auto" w:fill="F2F2F2" w:themeFill="background1" w:themeFillShade="F2"/>
            <w:hideMark/>
          </w:tcPr>
          <w:p w14:paraId="0E42FF0E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fluorchinolonen</w:t>
            </w:r>
            <w:proofErr w:type="spellEnd"/>
            <w:r w:rsidRPr="000B46FF">
              <w:t xml:space="preserve"> en aminoglycosiden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3B3F6453" w14:textId="77777777" w:rsidR="000B46FF" w:rsidRPr="000B46FF" w:rsidRDefault="000B46FF" w:rsidP="000B46FF">
            <w:pPr>
              <w:pStyle w:val="NoSpacing"/>
            </w:pPr>
            <w:r w:rsidRPr="000B46FF">
              <w:t>lage score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F88C63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++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  <w:hideMark/>
          </w:tcPr>
          <w:p w14:paraId="1F2E6957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-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BEAF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C321E9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3</w:t>
            </w:r>
          </w:p>
        </w:tc>
      </w:tr>
      <w:tr w:rsidR="00100686" w:rsidRPr="000B46FF" w14:paraId="77F3542D" w14:textId="77777777" w:rsidTr="00100686">
        <w:trPr>
          <w:trHeight w:val="275"/>
        </w:trPr>
        <w:tc>
          <w:tcPr>
            <w:tcW w:w="2547" w:type="dxa"/>
            <w:shd w:val="clear" w:color="auto" w:fill="F2F2F2" w:themeFill="background1" w:themeFillShade="F2"/>
            <w:hideMark/>
          </w:tcPr>
          <w:p w14:paraId="17515624" w14:textId="24D93188" w:rsidR="000B46FF" w:rsidRPr="00100686" w:rsidRDefault="000B46FF" w:rsidP="000B46FF">
            <w:pPr>
              <w:pStyle w:val="NoSpacing"/>
              <w:rPr>
                <w:i/>
              </w:rPr>
            </w:pPr>
            <w:proofErr w:type="spellStart"/>
            <w:r w:rsidRPr="00100686">
              <w:rPr>
                <w:i/>
              </w:rPr>
              <w:t>Stenotrophomonas</w:t>
            </w:r>
            <w:proofErr w:type="spellEnd"/>
            <w:r w:rsidR="00743CA7">
              <w:rPr>
                <w:i/>
              </w:rPr>
              <w:t xml:space="preserve"> </w:t>
            </w:r>
            <w:proofErr w:type="spellStart"/>
            <w:r w:rsidR="00743CA7">
              <w:rPr>
                <w:i/>
              </w:rPr>
              <w:t>maltophilia</w:t>
            </w:r>
            <w:proofErr w:type="spellEnd"/>
          </w:p>
        </w:tc>
        <w:tc>
          <w:tcPr>
            <w:tcW w:w="3411" w:type="dxa"/>
            <w:shd w:val="clear" w:color="auto" w:fill="F2F2F2" w:themeFill="background1" w:themeFillShade="F2"/>
            <w:hideMark/>
          </w:tcPr>
          <w:p w14:paraId="266271C1" w14:textId="77777777" w:rsidR="000B46FF" w:rsidRPr="000B46FF" w:rsidRDefault="000B46FF" w:rsidP="000B46FF">
            <w:pPr>
              <w:pStyle w:val="NoSpacing"/>
            </w:pPr>
            <w:r w:rsidRPr="000B46FF">
              <w:t xml:space="preserve">cotrimoxazol </w:t>
            </w:r>
          </w:p>
        </w:tc>
        <w:tc>
          <w:tcPr>
            <w:tcW w:w="3284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29B2C850" w14:textId="77777777" w:rsidR="000B46FF" w:rsidRPr="000B46FF" w:rsidRDefault="000B46FF" w:rsidP="000B46FF">
            <w:pPr>
              <w:pStyle w:val="NoSpacing"/>
            </w:pPr>
            <w:r w:rsidRPr="000B46FF">
              <w:t>lage score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BB7EAD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  <w:hideMark/>
          </w:tcPr>
          <w:p w14:paraId="15F795FB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17D92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-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7B3D81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2</w:t>
            </w:r>
          </w:p>
        </w:tc>
      </w:tr>
      <w:tr w:rsidR="00100686" w:rsidRPr="000B46FF" w14:paraId="7BAF5C48" w14:textId="77777777" w:rsidTr="00100686">
        <w:trPr>
          <w:trHeight w:val="554"/>
        </w:trPr>
        <w:tc>
          <w:tcPr>
            <w:tcW w:w="2547" w:type="dxa"/>
            <w:shd w:val="clear" w:color="auto" w:fill="F2F2F2" w:themeFill="background1" w:themeFillShade="F2"/>
            <w:hideMark/>
          </w:tcPr>
          <w:p w14:paraId="4CF14C24" w14:textId="77777777" w:rsidR="000B46FF" w:rsidRPr="000B46FF" w:rsidRDefault="000B46FF" w:rsidP="000B46FF">
            <w:pPr>
              <w:pStyle w:val="NoSpacing"/>
            </w:pPr>
            <w:proofErr w:type="spellStart"/>
            <w:r w:rsidRPr="00100686">
              <w:rPr>
                <w:i/>
              </w:rPr>
              <w:t>Acinetobacter</w:t>
            </w:r>
            <w:proofErr w:type="spellEnd"/>
            <w:r w:rsidRPr="00100686">
              <w:rPr>
                <w:i/>
              </w:rPr>
              <w:t xml:space="preserve"> </w:t>
            </w:r>
            <w:proofErr w:type="spellStart"/>
            <w:r w:rsidRPr="000B46FF">
              <w:t>spp</w:t>
            </w:r>
            <w:proofErr w:type="spellEnd"/>
            <w:r w:rsidRPr="000B46FF">
              <w:t xml:space="preserve"> overig MDR</w:t>
            </w:r>
          </w:p>
        </w:tc>
        <w:tc>
          <w:tcPr>
            <w:tcW w:w="3411" w:type="dxa"/>
            <w:shd w:val="clear" w:color="auto" w:fill="F2F2F2" w:themeFill="background1" w:themeFillShade="F2"/>
            <w:hideMark/>
          </w:tcPr>
          <w:p w14:paraId="6002DC6A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carbapenemase</w:t>
            </w:r>
            <w:proofErr w:type="spellEnd"/>
          </w:p>
        </w:tc>
        <w:tc>
          <w:tcPr>
            <w:tcW w:w="3284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8CEB874" w14:textId="2F595A83" w:rsidR="000B46FF" w:rsidRPr="000B46FF" w:rsidRDefault="00100686" w:rsidP="000B46FF">
            <w:pPr>
              <w:pStyle w:val="NoSpacing"/>
            </w:pPr>
            <w:r>
              <w:t xml:space="preserve">lage score, onderscheid met </w:t>
            </w:r>
            <w:r w:rsidRPr="00100686">
              <w:rPr>
                <w:i/>
              </w:rPr>
              <w:t xml:space="preserve">A. </w:t>
            </w:r>
            <w:proofErr w:type="spellStart"/>
            <w:r w:rsidRPr="00100686">
              <w:rPr>
                <w:i/>
              </w:rPr>
              <w:t>baumannii</w:t>
            </w:r>
            <w:proofErr w:type="spellEnd"/>
            <w:r>
              <w:t xml:space="preserve"> complex </w:t>
            </w:r>
            <w:r w:rsidR="000B46FF" w:rsidRPr="000B46FF">
              <w:t>mogelijk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873433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-/ +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  <w:hideMark/>
          </w:tcPr>
          <w:p w14:paraId="26EA5E3F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2E68F0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-/ 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C6EB0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2</w:t>
            </w:r>
          </w:p>
        </w:tc>
      </w:tr>
      <w:tr w:rsidR="00100686" w:rsidRPr="000B46FF" w14:paraId="66F52D58" w14:textId="77777777" w:rsidTr="00100686">
        <w:trPr>
          <w:trHeight w:val="275"/>
        </w:trPr>
        <w:tc>
          <w:tcPr>
            <w:tcW w:w="2547" w:type="dxa"/>
            <w:shd w:val="clear" w:color="auto" w:fill="F2F2F2" w:themeFill="background1" w:themeFillShade="F2"/>
            <w:hideMark/>
          </w:tcPr>
          <w:p w14:paraId="11742A39" w14:textId="77777777" w:rsidR="000B46FF" w:rsidRPr="000B46FF" w:rsidRDefault="000B46FF" w:rsidP="000B46FF">
            <w:pPr>
              <w:pStyle w:val="NoSpacing"/>
            </w:pPr>
            <w:r w:rsidRPr="00100686">
              <w:rPr>
                <w:i/>
              </w:rPr>
              <w:t>Pseudomonas</w:t>
            </w:r>
            <w:r w:rsidRPr="000B46FF">
              <w:t xml:space="preserve"> </w:t>
            </w:r>
            <w:proofErr w:type="spellStart"/>
            <w:r w:rsidRPr="000B46FF">
              <w:t>spp</w:t>
            </w:r>
            <w:proofErr w:type="spellEnd"/>
            <w:r w:rsidRPr="000B46FF">
              <w:t xml:space="preserve"> MDR</w:t>
            </w:r>
          </w:p>
        </w:tc>
        <w:tc>
          <w:tcPr>
            <w:tcW w:w="3411" w:type="dxa"/>
            <w:shd w:val="clear" w:color="auto" w:fill="F2F2F2" w:themeFill="background1" w:themeFillShade="F2"/>
            <w:hideMark/>
          </w:tcPr>
          <w:p w14:paraId="30848E1F" w14:textId="77777777" w:rsidR="000B46FF" w:rsidRPr="000B46FF" w:rsidRDefault="000B46FF" w:rsidP="000B46FF">
            <w:pPr>
              <w:pStyle w:val="NoSpacing"/>
            </w:pPr>
            <w:proofErr w:type="spellStart"/>
            <w:r w:rsidRPr="000B46FF">
              <w:t>carbapenemase</w:t>
            </w:r>
            <w:proofErr w:type="spellEnd"/>
          </w:p>
        </w:tc>
        <w:tc>
          <w:tcPr>
            <w:tcW w:w="3284" w:type="dxa"/>
            <w:tcBorders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684D04B0" w14:textId="77777777" w:rsidR="000B46FF" w:rsidRPr="000B46FF" w:rsidRDefault="000B46FF" w:rsidP="000B46FF">
            <w:pPr>
              <w:pStyle w:val="NoSpacing"/>
            </w:pPr>
            <w:r w:rsidRPr="000B46FF">
              <w:t>lage score</w:t>
            </w:r>
          </w:p>
        </w:tc>
        <w:tc>
          <w:tcPr>
            <w:tcW w:w="136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9D470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-/ +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  <w:hideMark/>
          </w:tcPr>
          <w:p w14:paraId="0D17BA3C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+</w:t>
            </w:r>
          </w:p>
        </w:tc>
        <w:tc>
          <w:tcPr>
            <w:tcW w:w="130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5058DA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-/ +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D80DB" w14:textId="77777777" w:rsidR="000B46FF" w:rsidRPr="000B46FF" w:rsidRDefault="000B46FF" w:rsidP="000B46FF">
            <w:pPr>
              <w:pStyle w:val="NoSpacing"/>
              <w:jc w:val="center"/>
            </w:pPr>
            <w:r w:rsidRPr="000B46FF">
              <w:t>2</w:t>
            </w:r>
          </w:p>
        </w:tc>
      </w:tr>
    </w:tbl>
    <w:p w14:paraId="2552F7C6" w14:textId="77777777" w:rsidR="00100686" w:rsidRDefault="00100686" w:rsidP="00675A9E">
      <w:pPr>
        <w:pStyle w:val="NoSpacing"/>
      </w:pPr>
    </w:p>
    <w:p w14:paraId="66D9765D" w14:textId="495D8F65" w:rsidR="000B46FF" w:rsidRPr="00675A9E" w:rsidRDefault="000B46FF" w:rsidP="00675A9E">
      <w:pPr>
        <w:pStyle w:val="NoSpacing"/>
      </w:pPr>
      <w:r>
        <w:t>* pragmatische score toegekend (hoe hoger de score, hoe meer belang van aanvullende maatregelen) gebaseerd op het veroorzaken van ziekte, belemmering van standaard therapie en overdraagbaarheid.</w:t>
      </w:r>
    </w:p>
    <w:sectPr w:rsidR="000B46FF" w:rsidRPr="00675A9E" w:rsidSect="00675A9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B516" w14:textId="77777777" w:rsidR="00D05436" w:rsidRDefault="00D05436" w:rsidP="00675A9E">
      <w:pPr>
        <w:spacing w:after="0" w:line="240" w:lineRule="auto"/>
      </w:pPr>
      <w:r>
        <w:separator/>
      </w:r>
    </w:p>
  </w:endnote>
  <w:endnote w:type="continuationSeparator" w:id="0">
    <w:p w14:paraId="5EBA81FF" w14:textId="77777777" w:rsidR="00D05436" w:rsidRDefault="00D05436" w:rsidP="0067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wy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949584"/>
      <w:docPartObj>
        <w:docPartGallery w:val="Page Numbers (Bottom of Page)"/>
        <w:docPartUnique/>
      </w:docPartObj>
    </w:sdtPr>
    <w:sdtContent>
      <w:p w14:paraId="51AFB79E" w14:textId="4B7C188E" w:rsidR="00216926" w:rsidRDefault="00216926" w:rsidP="00216926">
        <w:pPr>
          <w:pStyle w:val="Footer"/>
          <w:ind w:left="2567" w:firstLine="451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A7F9F" w14:textId="77777777" w:rsidR="00216926" w:rsidRDefault="00216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12E2" w14:textId="77777777" w:rsidR="00D05436" w:rsidRDefault="00D05436" w:rsidP="00675A9E">
      <w:pPr>
        <w:spacing w:after="0" w:line="240" w:lineRule="auto"/>
      </w:pPr>
      <w:r>
        <w:separator/>
      </w:r>
    </w:p>
  </w:footnote>
  <w:footnote w:type="continuationSeparator" w:id="0">
    <w:p w14:paraId="4F061E71" w14:textId="77777777" w:rsidR="00D05436" w:rsidRDefault="00D05436" w:rsidP="0067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BFAF" w14:textId="77777777" w:rsidR="00675A9E" w:rsidRPr="00044A53" w:rsidRDefault="00675A9E" w:rsidP="00675A9E">
    <w:pPr>
      <w:pStyle w:val="NoSpacing"/>
      <w:ind w:left="10620"/>
    </w:pPr>
    <w:r w:rsidRPr="000B0BDB">
      <w:t>Werkgroep</w:t>
    </w:r>
    <w:r>
      <w:t>: D</w:t>
    </w:r>
    <w:r w:rsidRPr="000B0BDB">
      <w:t>efinitie BRMO</w:t>
    </w:r>
    <w:r>
      <w:t xml:space="preserve"> 2021</w:t>
    </w:r>
  </w:p>
  <w:p w14:paraId="5D4067A7" w14:textId="77777777" w:rsidR="00675A9E" w:rsidRDefault="00675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949"/>
    <w:multiLevelType w:val="hybridMultilevel"/>
    <w:tmpl w:val="508EF246"/>
    <w:lvl w:ilvl="0" w:tplc="B5B8014E">
      <w:numFmt w:val="bullet"/>
      <w:lvlText w:val="-"/>
      <w:lvlJc w:val="left"/>
      <w:pPr>
        <w:ind w:left="720" w:hanging="360"/>
      </w:pPr>
      <w:rPr>
        <w:rFonts w:ascii="Alwyn" w:eastAsiaTheme="minorHAnsi" w:hAnsi="Alwyn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9D0"/>
    <w:multiLevelType w:val="hybridMultilevel"/>
    <w:tmpl w:val="B28410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3F"/>
    <w:rsid w:val="00044A53"/>
    <w:rsid w:val="000B0BAD"/>
    <w:rsid w:val="000B0BDB"/>
    <w:rsid w:val="000B19BC"/>
    <w:rsid w:val="000B46FF"/>
    <w:rsid w:val="00100686"/>
    <w:rsid w:val="001A35B1"/>
    <w:rsid w:val="001E04A4"/>
    <w:rsid w:val="00216926"/>
    <w:rsid w:val="002C387C"/>
    <w:rsid w:val="002F2F24"/>
    <w:rsid w:val="00303060"/>
    <w:rsid w:val="003416B0"/>
    <w:rsid w:val="0034603C"/>
    <w:rsid w:val="003E68E7"/>
    <w:rsid w:val="00484611"/>
    <w:rsid w:val="004B2B11"/>
    <w:rsid w:val="004B74AA"/>
    <w:rsid w:val="004F13CF"/>
    <w:rsid w:val="00590F1A"/>
    <w:rsid w:val="0059407F"/>
    <w:rsid w:val="005C36E4"/>
    <w:rsid w:val="005D2EB1"/>
    <w:rsid w:val="0060118B"/>
    <w:rsid w:val="00624F6E"/>
    <w:rsid w:val="006738C0"/>
    <w:rsid w:val="00675A9E"/>
    <w:rsid w:val="006813D3"/>
    <w:rsid w:val="006A699E"/>
    <w:rsid w:val="006C1194"/>
    <w:rsid w:val="00743CA7"/>
    <w:rsid w:val="007632B6"/>
    <w:rsid w:val="007B1B82"/>
    <w:rsid w:val="007C499F"/>
    <w:rsid w:val="00830DF4"/>
    <w:rsid w:val="00863BEF"/>
    <w:rsid w:val="00897A96"/>
    <w:rsid w:val="008A3FF8"/>
    <w:rsid w:val="008B4D9D"/>
    <w:rsid w:val="008C6995"/>
    <w:rsid w:val="00916EC4"/>
    <w:rsid w:val="00964C1E"/>
    <w:rsid w:val="0096610B"/>
    <w:rsid w:val="009A1C9E"/>
    <w:rsid w:val="009C0B67"/>
    <w:rsid w:val="00A16FA7"/>
    <w:rsid w:val="00A52150"/>
    <w:rsid w:val="00A561BC"/>
    <w:rsid w:val="00A56F37"/>
    <w:rsid w:val="00AD4D8C"/>
    <w:rsid w:val="00AE2528"/>
    <w:rsid w:val="00AE2A7B"/>
    <w:rsid w:val="00B338DB"/>
    <w:rsid w:val="00B830C9"/>
    <w:rsid w:val="00BC2DAB"/>
    <w:rsid w:val="00C03B05"/>
    <w:rsid w:val="00C51BB4"/>
    <w:rsid w:val="00D05436"/>
    <w:rsid w:val="00D87A2E"/>
    <w:rsid w:val="00E507EA"/>
    <w:rsid w:val="00E663EB"/>
    <w:rsid w:val="00EB0A84"/>
    <w:rsid w:val="00F81A3F"/>
    <w:rsid w:val="00F9221D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3E58C"/>
  <w15:chartTrackingRefBased/>
  <w15:docId w15:val="{359CCBD4-64DB-4484-85F7-67C12983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3F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F81A3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B4D9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1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C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13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9E"/>
  </w:style>
  <w:style w:type="paragraph" w:styleId="Footer">
    <w:name w:val="footer"/>
    <w:basedOn w:val="Normal"/>
    <w:link w:val="FooterChar"/>
    <w:uiPriority w:val="99"/>
    <w:unhideWhenUsed/>
    <w:rsid w:val="00675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9E"/>
  </w:style>
  <w:style w:type="table" w:styleId="TableGrid">
    <w:name w:val="Table Grid"/>
    <w:basedOn w:val="TableNormal"/>
    <w:uiPriority w:val="39"/>
    <w:rsid w:val="0067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4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Mansfeld, R. van (Rosa)</dc:creator>
  <cp:keywords/>
  <dc:description/>
  <cp:lastModifiedBy>Margo Kusters | NVMM</cp:lastModifiedBy>
  <cp:revision>2</cp:revision>
  <dcterms:created xsi:type="dcterms:W3CDTF">2021-08-09T13:24:00Z</dcterms:created>
  <dcterms:modified xsi:type="dcterms:W3CDTF">2021-08-09T13:24:00Z</dcterms:modified>
</cp:coreProperties>
</file>